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51031E" w14:textId="77777777" w:rsidR="00287381" w:rsidRDefault="00E07BDA">
      <w:r>
        <w:rPr>
          <w:b/>
          <w:noProof/>
          <w:sz w:val="40"/>
          <w:szCs w:val="40"/>
        </w:rPr>
        <w:drawing>
          <wp:inline distT="0" distB="0" distL="0" distR="0" wp14:anchorId="1C686F41" wp14:editId="6D80DB8A">
            <wp:extent cx="6114415" cy="532765"/>
            <wp:effectExtent l="0" t="0" r="0" b="0"/>
            <wp:docPr id="19480420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6114415" cy="532765"/>
                    </a:xfrm>
                    <a:prstGeom prst="rect">
                      <a:avLst/>
                    </a:prstGeom>
                    <a:ln/>
                  </pic:spPr>
                </pic:pic>
              </a:graphicData>
            </a:graphic>
          </wp:inline>
        </w:drawing>
      </w:r>
    </w:p>
    <w:p w14:paraId="09F17669" w14:textId="77777777" w:rsidR="00287381" w:rsidRPr="00E07BDA" w:rsidRDefault="00E07BDA">
      <w:pPr>
        <w:tabs>
          <w:tab w:val="left" w:pos="8136"/>
        </w:tabs>
        <w:jc w:val="center"/>
        <w:rPr>
          <w:rFonts w:ascii="Titillium Web" w:eastAsia="Titillium Web" w:hAnsi="Titillium Web" w:cs="Titillium Web"/>
          <w:b/>
          <w:lang w:val="en-US"/>
        </w:rPr>
      </w:pPr>
      <w:r w:rsidRPr="00E07BDA">
        <w:rPr>
          <w:rFonts w:ascii="Titillium Web" w:eastAsia="Titillium Web" w:hAnsi="Titillium Web" w:cs="Titillium Web"/>
          <w:b/>
          <w:lang w:val="en-US"/>
        </w:rPr>
        <w:t>Progetto IRIS - Innovative Research Infrastructure on Applied Superconductivity</w:t>
      </w:r>
    </w:p>
    <w:p w14:paraId="0F584BD3" w14:textId="77777777" w:rsidR="00287381" w:rsidRDefault="00E07BDA">
      <w:pPr>
        <w:tabs>
          <w:tab w:val="left" w:pos="8136"/>
        </w:tabs>
        <w:jc w:val="center"/>
        <w:rPr>
          <w:rFonts w:ascii="Titillium Web" w:eastAsia="Titillium Web" w:hAnsi="Titillium Web" w:cs="Titillium Web"/>
          <w:b/>
        </w:rPr>
      </w:pPr>
      <w:r>
        <w:rPr>
          <w:rFonts w:ascii="Titillium Web" w:eastAsia="Titillium Web" w:hAnsi="Titillium Web" w:cs="Titillium Web"/>
          <w:b/>
        </w:rPr>
        <w:t>Missione 4, Componente 2, Investimento 3.1</w:t>
      </w:r>
    </w:p>
    <w:p w14:paraId="4961A18A" w14:textId="77777777" w:rsidR="00287381" w:rsidRDefault="00E07BDA">
      <w:pPr>
        <w:tabs>
          <w:tab w:val="left" w:pos="8136"/>
        </w:tabs>
        <w:jc w:val="center"/>
        <w:rPr>
          <w:rFonts w:ascii="Titillium Web" w:eastAsia="Titillium Web" w:hAnsi="Titillium Web" w:cs="Titillium Web"/>
          <w:b/>
        </w:rPr>
      </w:pPr>
      <w:r>
        <w:rPr>
          <w:rFonts w:ascii="Titillium Web" w:eastAsia="Titillium Web" w:hAnsi="Titillium Web" w:cs="Titillium Web"/>
          <w:b/>
        </w:rPr>
        <w:t>Codice Progetto MUR: MUR: IR0000003; CUP UNINA: I43C21000230006</w:t>
      </w:r>
    </w:p>
    <w:p w14:paraId="417EF457" w14:textId="77777777" w:rsidR="00287381" w:rsidRDefault="00287381">
      <w:pPr>
        <w:jc w:val="center"/>
        <w:rPr>
          <w:rFonts w:ascii="Titillium Regular Upright" w:eastAsia="Titillium Regular Upright" w:hAnsi="Titillium Regular Upright" w:cs="Titillium Regular Upright"/>
          <w:b/>
          <w:sz w:val="32"/>
          <w:szCs w:val="32"/>
        </w:rPr>
      </w:pPr>
    </w:p>
    <w:p w14:paraId="3E7072D7" w14:textId="77777777" w:rsidR="00287381" w:rsidRDefault="00E07BDA">
      <w:pPr>
        <w:jc w:val="center"/>
        <w:rPr>
          <w:rFonts w:ascii="Calibri" w:eastAsia="Calibri" w:hAnsi="Calibri" w:cs="Calibri"/>
          <w:b/>
          <w:color w:val="000000"/>
          <w:sz w:val="28"/>
          <w:szCs w:val="28"/>
        </w:rPr>
      </w:pPr>
      <w:r>
        <w:rPr>
          <w:noProof/>
        </w:rPr>
        <w:drawing>
          <wp:inline distT="0" distB="0" distL="0" distR="0" wp14:anchorId="03732F8D" wp14:editId="74F3F5C8">
            <wp:extent cx="6117590" cy="533400"/>
            <wp:effectExtent l="0" t="0" r="0" b="0"/>
            <wp:docPr id="194804202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6117590" cy="533400"/>
                    </a:xfrm>
                    <a:prstGeom prst="rect">
                      <a:avLst/>
                    </a:prstGeom>
                    <a:ln/>
                  </pic:spPr>
                </pic:pic>
              </a:graphicData>
            </a:graphic>
          </wp:inline>
        </w:drawing>
      </w:r>
    </w:p>
    <w:p w14:paraId="7AF275A6" w14:textId="77777777" w:rsidR="00287381" w:rsidRDefault="00287381">
      <w:pPr>
        <w:jc w:val="center"/>
        <w:rPr>
          <w:rFonts w:ascii="Calibri" w:eastAsia="Calibri" w:hAnsi="Calibri" w:cs="Calibri"/>
          <w:b/>
          <w:color w:val="000000"/>
          <w:sz w:val="28"/>
          <w:szCs w:val="28"/>
        </w:rPr>
      </w:pPr>
    </w:p>
    <w:p w14:paraId="42984F73" w14:textId="757C61F3" w:rsidR="00287381" w:rsidRDefault="00E07BDA">
      <w:pPr>
        <w:jc w:val="both"/>
        <w:rPr>
          <w:rFonts w:ascii="Titillium Web" w:eastAsia="Titillium Web" w:hAnsi="Titillium Web" w:cs="Titillium Web"/>
          <w:b/>
        </w:rPr>
      </w:pPr>
      <w:r>
        <w:rPr>
          <w:rFonts w:ascii="Titillium Regular Upright" w:eastAsia="Titillium Regular Upright" w:hAnsi="Titillium Regular Upright" w:cs="Titillium Regular Upright"/>
          <w:b/>
          <w:color w:val="000000"/>
        </w:rPr>
        <w:t xml:space="preserve">PROCEDURA APERTA CON APPLICAZIONE DEL CRITERIO DELL’OFFERTA ECONOMICAMENTE PIÙ VANTAGGIOSA INDIVIDUATA SULLA BASE DEL MIGLIOR RAPPORTO QUALITÀ PREZZO, AI SENSI DEGLI ARTT. 71 E 108, D.LGS. N. 36/2023 S.M.I. </w:t>
      </w:r>
      <w:r>
        <w:rPr>
          <w:rFonts w:ascii="Titillium Web" w:eastAsia="Titillium Web" w:hAnsi="Titillium Web" w:cs="Titillium Web"/>
          <w:b/>
        </w:rPr>
        <w:t xml:space="preserve">avente ad oggetto la FORNITURA  E INSTALLAZIONE </w:t>
      </w:r>
      <w:r>
        <w:rPr>
          <w:rFonts w:ascii="Titillium Web" w:eastAsia="Titillium Web" w:hAnsi="Titillium Web" w:cs="Titillium Web"/>
          <w:b/>
        </w:rPr>
        <w:t>DI UN CRIOSTATO PER LA CARATTERIZZAZIONE DI DISPOSITIVI SUPERCONDUTTIVI Progetto IRIS nel Complesso Universitario di Monte Sant’Angelo, Napoli</w:t>
      </w:r>
    </w:p>
    <w:p w14:paraId="682CC937" w14:textId="77777777" w:rsidR="00287381" w:rsidRDefault="00287381">
      <w:pPr>
        <w:pStyle w:val="Titolo1"/>
        <w:spacing w:before="224" w:line="256" w:lineRule="auto"/>
        <w:ind w:left="0" w:right="-3"/>
        <w:jc w:val="left"/>
        <w:rPr>
          <w:rFonts w:ascii="Titillium Web" w:eastAsia="Titillium Web" w:hAnsi="Titillium Web" w:cs="Titillium Web"/>
          <w:u w:val="single"/>
        </w:rPr>
      </w:pPr>
    </w:p>
    <w:p w14:paraId="1930260A" w14:textId="77777777" w:rsidR="00287381" w:rsidRDefault="00E07BDA">
      <w:pPr>
        <w:pStyle w:val="Titolo1"/>
        <w:spacing w:before="224" w:line="256" w:lineRule="auto"/>
        <w:ind w:left="774" w:right="-3"/>
        <w:rPr>
          <w:rFonts w:ascii="Titillium Regular Upright" w:eastAsia="Titillium Regular Upright" w:hAnsi="Titillium Regular Upright" w:cs="Titillium Regular Upright"/>
          <w:u w:val="single"/>
        </w:rPr>
      </w:pPr>
      <w:r>
        <w:rPr>
          <w:rFonts w:ascii="Titillium Regular Upright" w:eastAsia="Titillium Regular Upright" w:hAnsi="Titillium Regular Upright" w:cs="Titillium Regular Upright"/>
          <w:u w:val="single"/>
        </w:rPr>
        <w:t>DICHIARAZIONE PER IDENTIFICAZIONE DEL TITOLARE EFFETTIVO</w:t>
      </w:r>
    </w:p>
    <w:p w14:paraId="6730060D" w14:textId="77777777" w:rsidR="00287381" w:rsidRDefault="00287381">
      <w:pPr>
        <w:tabs>
          <w:tab w:val="left" w:pos="9923"/>
        </w:tabs>
        <w:spacing w:before="163" w:line="398" w:lineRule="auto"/>
        <w:ind w:right="-3"/>
        <w:jc w:val="both"/>
        <w:rPr>
          <w:rFonts w:ascii="Titillium Regular Upright" w:eastAsia="Titillium Regular Upright" w:hAnsi="Titillium Regular Upright" w:cs="Titillium Regular Upright"/>
          <w:b/>
          <w:strike/>
          <w:sz w:val="24"/>
          <w:szCs w:val="24"/>
        </w:rPr>
      </w:pPr>
    </w:p>
    <w:p w14:paraId="3865184F" w14:textId="77777777" w:rsidR="00287381" w:rsidRDefault="00287381">
      <w:pPr>
        <w:pBdr>
          <w:top w:val="nil"/>
          <w:left w:val="nil"/>
          <w:bottom w:val="nil"/>
          <w:right w:val="nil"/>
          <w:between w:val="nil"/>
        </w:pBdr>
        <w:spacing w:line="360" w:lineRule="auto"/>
        <w:rPr>
          <w:rFonts w:ascii="Titillium Regular Upright" w:eastAsia="Titillium Regular Upright" w:hAnsi="Titillium Regular Upright" w:cs="Titillium Regular Upright"/>
          <w:color w:val="000000"/>
          <w:sz w:val="24"/>
          <w:szCs w:val="24"/>
        </w:rPr>
      </w:pPr>
    </w:p>
    <w:p w14:paraId="196264A5" w14:textId="77777777" w:rsidR="00287381" w:rsidRDefault="00E07BDA">
      <w:pPr>
        <w:pBdr>
          <w:top w:val="nil"/>
          <w:left w:val="nil"/>
          <w:bottom w:val="nil"/>
          <w:right w:val="nil"/>
          <w:between w:val="nil"/>
        </w:pBdr>
        <w:tabs>
          <w:tab w:val="left" w:pos="5809"/>
          <w:tab w:val="left" w:pos="9920"/>
        </w:tabs>
        <w:spacing w:line="360" w:lineRule="auto"/>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La/Il sottoscritta/o ___________________________________ nata/o a _________________ (prov. ______) il _______________ C.F. __________________________ residente a _______</w:t>
      </w:r>
    </w:p>
    <w:p w14:paraId="6EBBCE87" w14:textId="77777777" w:rsidR="00287381" w:rsidRDefault="00E07BDA">
      <w:pPr>
        <w:pBdr>
          <w:top w:val="nil"/>
          <w:left w:val="nil"/>
          <w:bottom w:val="nil"/>
          <w:right w:val="nil"/>
          <w:between w:val="nil"/>
        </w:pBdr>
        <w:tabs>
          <w:tab w:val="left" w:pos="5809"/>
          <w:tab w:val="left" w:pos="9920"/>
        </w:tabs>
        <w:spacing w:before="91" w:line="360" w:lineRule="auto"/>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_________ (prov.____) in via/piazza ________________________________________ n. ___ CAP _____________ indirizzo e-mail/PEC _____________________________ tel. _________ professione _________________________, in qualità di legale rappresentante della società ________________________________________________________ con sede a _________________________________ (prov.________) cap ___________ in via/piazza __________________________________ indirizzo e-mail/PEC _______________ C.F. _________________________ Part</w:t>
      </w:r>
      <w:r>
        <w:rPr>
          <w:rFonts w:ascii="Titillium Regular Upright" w:eastAsia="Titillium Regular Upright" w:hAnsi="Titillium Regular Upright" w:cs="Titillium Regular Upright"/>
          <w:color w:val="000000"/>
          <w:sz w:val="24"/>
          <w:szCs w:val="24"/>
        </w:rPr>
        <w:t xml:space="preserve">ita IVA ___________________________________classificazione delle attività economiche predisposta dall’ISTAT (codice ATECO e breve descrizione dell’attività): _______________________________________________________________ ai sensi degli articoli 46 e 47 del D.P.R. 28 dicembre 2000, n. 445, consapevole della responsabilità penale in cui incorre chi sottoscrive dichiarazioni mendaci o forma, esibisce, si avvale di atti falsi ovvero non più </w:t>
      </w:r>
      <w:r>
        <w:rPr>
          <w:rFonts w:ascii="Titillium Regular Upright" w:eastAsia="Titillium Regular Upright" w:hAnsi="Titillium Regular Upright" w:cs="Titillium Regular Upright"/>
          <w:color w:val="000000"/>
          <w:sz w:val="24"/>
          <w:szCs w:val="24"/>
        </w:rPr>
        <w:lastRenderedPageBreak/>
        <w:t>rispondenti a verità  e delle relative sanzioni penali di cui all’art.</w:t>
      </w:r>
      <w:r>
        <w:rPr>
          <w:rFonts w:ascii="Titillium Regular Upright" w:eastAsia="Titillium Regular Upright" w:hAnsi="Titillium Regular Upright" w:cs="Titillium Regular Upright"/>
          <w:color w:val="000000"/>
          <w:sz w:val="24"/>
          <w:szCs w:val="24"/>
        </w:rPr>
        <w:t xml:space="preserve"> 76 del D.P.R. 445/2000, nonché delle conseguenze amministrative e di decadenza dei benefici eventualmente conseguenti al provvedimento emanato</w:t>
      </w:r>
    </w:p>
    <w:p w14:paraId="35EF00E9" w14:textId="77777777" w:rsidR="00287381" w:rsidRDefault="00287381">
      <w:pPr>
        <w:pBdr>
          <w:top w:val="nil"/>
          <w:left w:val="nil"/>
          <w:bottom w:val="nil"/>
          <w:right w:val="nil"/>
          <w:between w:val="nil"/>
        </w:pBdr>
        <w:tabs>
          <w:tab w:val="left" w:pos="5809"/>
          <w:tab w:val="left" w:pos="8498"/>
          <w:tab w:val="left" w:pos="9689"/>
        </w:tabs>
        <w:spacing w:before="91"/>
        <w:ind w:left="113"/>
        <w:jc w:val="center"/>
        <w:rPr>
          <w:rFonts w:ascii="Titillium Regular Upright" w:eastAsia="Titillium Regular Upright" w:hAnsi="Titillium Regular Upright" w:cs="Titillium Regular Upright"/>
          <w:b/>
          <w:color w:val="000000"/>
          <w:sz w:val="24"/>
          <w:szCs w:val="24"/>
        </w:rPr>
      </w:pPr>
    </w:p>
    <w:p w14:paraId="2D02CBD4" w14:textId="77777777" w:rsidR="00287381" w:rsidRDefault="00E07BDA">
      <w:pPr>
        <w:pBdr>
          <w:top w:val="nil"/>
          <w:left w:val="nil"/>
          <w:bottom w:val="nil"/>
          <w:right w:val="nil"/>
          <w:between w:val="nil"/>
        </w:pBdr>
        <w:tabs>
          <w:tab w:val="left" w:pos="5809"/>
          <w:tab w:val="left" w:pos="8498"/>
          <w:tab w:val="left" w:pos="9689"/>
        </w:tabs>
        <w:spacing w:before="91"/>
        <w:ind w:left="113"/>
        <w:jc w:val="center"/>
        <w:rPr>
          <w:rFonts w:ascii="Titillium Regular Upright" w:eastAsia="Titillium Regular Upright" w:hAnsi="Titillium Regular Upright" w:cs="Titillium Regular Upright"/>
          <w:b/>
          <w:color w:val="000000"/>
          <w:sz w:val="24"/>
          <w:szCs w:val="24"/>
        </w:rPr>
      </w:pPr>
      <w:r>
        <w:rPr>
          <w:rFonts w:ascii="Titillium Regular Upright" w:eastAsia="Titillium Regular Upright" w:hAnsi="Titillium Regular Upright" w:cs="Titillium Regular Upright"/>
          <w:b/>
          <w:color w:val="000000"/>
          <w:sz w:val="24"/>
          <w:szCs w:val="24"/>
        </w:rPr>
        <w:t>DICHIARA</w:t>
      </w:r>
    </w:p>
    <w:p w14:paraId="5F524E0B" w14:textId="77777777" w:rsidR="00287381" w:rsidRDefault="00E07BDA">
      <w:pPr>
        <w:pBdr>
          <w:top w:val="nil"/>
          <w:left w:val="nil"/>
          <w:bottom w:val="nil"/>
          <w:right w:val="nil"/>
          <w:between w:val="nil"/>
        </w:pBdr>
        <w:tabs>
          <w:tab w:val="left" w:pos="9689"/>
          <w:tab w:val="left" w:pos="9920"/>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Che il/i titolare/i effettivo della società/impresa sopra indicata è/sono:</w:t>
      </w:r>
    </w:p>
    <w:p w14:paraId="7388E784"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Dati identificativi:</w:t>
      </w:r>
    </w:p>
    <w:p w14:paraId="6626A5E4"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bookmarkStart w:id="0" w:name="_heading=h.zdfur0uyk4oc" w:colFirst="0" w:colLast="0"/>
      <w:bookmarkEnd w:id="0"/>
      <w:r>
        <w:rPr>
          <w:rFonts w:ascii="Titillium Regular Upright" w:eastAsia="Titillium Regular Upright" w:hAnsi="Titillium Regular Upright" w:cs="Titillium Regular Upright"/>
          <w:color w:val="000000"/>
          <w:sz w:val="24"/>
          <w:szCs w:val="24"/>
        </w:rPr>
        <w:t>Nome______________________ Cognome________________________ nata/o a _______ (prov. ______) il ____________________ C.F.___________________________________ residente a ________________ (prov.______) in via/piazza___________________________ n.____CAP________ indirizzo e-mail/PEC _____________________________tel. ________ tipologia di documento ________________________________ avente numero ___________</w:t>
      </w:r>
    </w:p>
    <w:p w14:paraId="73B70E3E"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rilasciato il ________________ da ___________________________ scadenza __________</w:t>
      </w:r>
    </w:p>
    <w:p w14:paraId="50AA4860" w14:textId="77777777" w:rsidR="00287381" w:rsidRDefault="00E07BDA">
      <w:pPr>
        <w:pBdr>
          <w:top w:val="nil"/>
          <w:left w:val="nil"/>
          <w:bottom w:val="nil"/>
          <w:right w:val="nil"/>
          <w:between w:val="nil"/>
        </w:pBdr>
        <w:tabs>
          <w:tab w:val="left" w:pos="4270"/>
        </w:tabs>
        <w:spacing w:before="91"/>
        <w:ind w:left="113"/>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 xml:space="preserve">Persona politicamente esposta: SI </w:t>
      </w:r>
      <w:r>
        <w:rPr>
          <w:rFonts w:ascii="Titillium Regular Upright" w:eastAsia="Titillium Regular Upright" w:hAnsi="Titillium Regular Upright" w:cs="Titillium Regular Upright"/>
          <w:color w:val="000000"/>
          <w:sz w:val="24"/>
          <w:szCs w:val="24"/>
        </w:rPr>
        <w:tab/>
        <w:t xml:space="preserve">NO </w:t>
      </w:r>
      <w:r>
        <w:rPr>
          <w:noProof/>
        </w:rPr>
        <mc:AlternateContent>
          <mc:Choice Requires="wpg">
            <w:drawing>
              <wp:anchor distT="0" distB="0" distL="114300" distR="114300" simplePos="0" relativeHeight="251658240" behindDoc="0" locked="0" layoutInCell="1" hidden="0" allowOverlap="1" wp14:anchorId="4E28F763" wp14:editId="14A76304">
                <wp:simplePos x="0" y="0"/>
                <wp:positionH relativeFrom="column">
                  <wp:posOffset>2286000</wp:posOffset>
                </wp:positionH>
                <wp:positionV relativeFrom="paragraph">
                  <wp:posOffset>63500</wp:posOffset>
                </wp:positionV>
                <wp:extent cx="228600" cy="215900"/>
                <wp:effectExtent l="0" t="0" r="0" b="0"/>
                <wp:wrapNone/>
                <wp:docPr id="1948042023" name="Rettangolo 1948042023"/>
                <wp:cNvGraphicFramePr/>
                <a:graphic xmlns:a="http://schemas.openxmlformats.org/drawingml/2006/main">
                  <a:graphicData uri="http://schemas.microsoft.com/office/word/2010/wordprocessingShape">
                    <wps:wsp>
                      <wps:cNvSpPr/>
                      <wps:spPr>
                        <a:xfrm>
                          <a:off x="5238050" y="3678400"/>
                          <a:ext cx="215900" cy="203200"/>
                        </a:xfrm>
                        <a:prstGeom prst="rect">
                          <a:avLst/>
                        </a:prstGeom>
                        <a:noFill/>
                        <a:ln w="12700" cap="flat" cmpd="sng">
                          <a:solidFill>
                            <a:srgbClr val="264159"/>
                          </a:solidFill>
                          <a:prstDash val="solid"/>
                          <a:miter lim="800000"/>
                          <a:headEnd type="none" w="sm" len="sm"/>
                          <a:tailEnd type="none" w="sm" len="sm"/>
                        </a:ln>
                      </wps:spPr>
                      <wps:txbx>
                        <w:txbxContent>
                          <w:p w14:paraId="6BBDCE46" w14:textId="77777777" w:rsidR="00287381" w:rsidRDefault="00287381">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2286000</wp:posOffset>
                </wp:positionH>
                <wp:positionV relativeFrom="paragraph">
                  <wp:posOffset>63500</wp:posOffset>
                </wp:positionV>
                <wp:extent cx="228600" cy="215900"/>
                <wp:effectExtent b="0" l="0" r="0" t="0"/>
                <wp:wrapNone/>
                <wp:docPr id="1948042023"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228600" cy="215900"/>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748E3FF4" wp14:editId="103879FE">
                <wp:simplePos x="0" y="0"/>
                <wp:positionH relativeFrom="column">
                  <wp:posOffset>2984500</wp:posOffset>
                </wp:positionH>
                <wp:positionV relativeFrom="paragraph">
                  <wp:posOffset>63500</wp:posOffset>
                </wp:positionV>
                <wp:extent cx="228600" cy="215900"/>
                <wp:effectExtent l="0" t="0" r="0" b="0"/>
                <wp:wrapNone/>
                <wp:docPr id="1948042026" name="Rettangolo 1948042026"/>
                <wp:cNvGraphicFramePr/>
                <a:graphic xmlns:a="http://schemas.openxmlformats.org/drawingml/2006/main">
                  <a:graphicData uri="http://schemas.microsoft.com/office/word/2010/wordprocessingShape">
                    <wps:wsp>
                      <wps:cNvSpPr/>
                      <wps:spPr>
                        <a:xfrm>
                          <a:off x="5238050" y="3678400"/>
                          <a:ext cx="215900" cy="203200"/>
                        </a:xfrm>
                        <a:prstGeom prst="rect">
                          <a:avLst/>
                        </a:prstGeom>
                        <a:noFill/>
                        <a:ln w="12700" cap="flat" cmpd="sng">
                          <a:solidFill>
                            <a:srgbClr val="264159"/>
                          </a:solidFill>
                          <a:prstDash val="solid"/>
                          <a:miter lim="800000"/>
                          <a:headEnd type="none" w="sm" len="sm"/>
                          <a:tailEnd type="none" w="sm" len="sm"/>
                        </a:ln>
                      </wps:spPr>
                      <wps:txbx>
                        <w:txbxContent>
                          <w:p w14:paraId="56366F30" w14:textId="77777777" w:rsidR="00287381" w:rsidRDefault="00287381">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2984500</wp:posOffset>
                </wp:positionH>
                <wp:positionV relativeFrom="paragraph">
                  <wp:posOffset>63500</wp:posOffset>
                </wp:positionV>
                <wp:extent cx="228600" cy="215900"/>
                <wp:effectExtent b="0" l="0" r="0" t="0"/>
                <wp:wrapNone/>
                <wp:docPr id="1948042026" name="image6.png"/>
                <a:graphic>
                  <a:graphicData uri="http://schemas.openxmlformats.org/drawingml/2006/picture">
                    <pic:pic>
                      <pic:nvPicPr>
                        <pic:cNvPr id="0" name="image6.png"/>
                        <pic:cNvPicPr preferRelativeResize="0"/>
                      </pic:nvPicPr>
                      <pic:blipFill>
                        <a:blip r:embed="rId10"/>
                        <a:srcRect/>
                        <a:stretch>
                          <a:fillRect/>
                        </a:stretch>
                      </pic:blipFill>
                      <pic:spPr>
                        <a:xfrm>
                          <a:off x="0" y="0"/>
                          <a:ext cx="228600" cy="215900"/>
                        </a:xfrm>
                        <a:prstGeom prst="rect"/>
                        <a:ln/>
                      </pic:spPr>
                    </pic:pic>
                  </a:graphicData>
                </a:graphic>
              </wp:anchor>
            </w:drawing>
          </mc:Fallback>
        </mc:AlternateContent>
      </w:r>
    </w:p>
    <w:p w14:paraId="2FA75B6D" w14:textId="77777777" w:rsidR="00287381" w:rsidRDefault="00287381">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p>
    <w:p w14:paraId="426B2230"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Nome______________________ Cognome________________________ nata/o a _______ (prov. ______) il ____________________ C.F.___________________________________ residente a ________________ (prov.______) in via/piazza___________________________ n.____CAP________ indirizzo e-mail/PEC _____________________________tel. ________ tipologia di documento ________________________________ avente numero ___________</w:t>
      </w:r>
    </w:p>
    <w:p w14:paraId="230B711E"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rilasciato il ________________ da ___________________________ scadenza __________</w:t>
      </w:r>
    </w:p>
    <w:p w14:paraId="08FF5209" w14:textId="77777777" w:rsidR="00287381" w:rsidRDefault="00E07BDA">
      <w:pPr>
        <w:pBdr>
          <w:top w:val="nil"/>
          <w:left w:val="nil"/>
          <w:bottom w:val="nil"/>
          <w:right w:val="nil"/>
          <w:between w:val="nil"/>
        </w:pBdr>
        <w:tabs>
          <w:tab w:val="left" w:pos="4270"/>
        </w:tabs>
        <w:spacing w:before="91"/>
        <w:ind w:left="113"/>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 xml:space="preserve">Persona politicamente esposta: SI </w:t>
      </w:r>
      <w:r>
        <w:rPr>
          <w:rFonts w:ascii="Titillium Regular Upright" w:eastAsia="Titillium Regular Upright" w:hAnsi="Titillium Regular Upright" w:cs="Titillium Regular Upright"/>
          <w:color w:val="000000"/>
          <w:sz w:val="24"/>
          <w:szCs w:val="24"/>
        </w:rPr>
        <w:tab/>
        <w:t xml:space="preserve">NO </w:t>
      </w:r>
      <w:r>
        <w:rPr>
          <w:noProof/>
        </w:rPr>
        <mc:AlternateContent>
          <mc:Choice Requires="wpg">
            <w:drawing>
              <wp:anchor distT="0" distB="0" distL="114300" distR="114300" simplePos="0" relativeHeight="251660288" behindDoc="0" locked="0" layoutInCell="1" hidden="0" allowOverlap="1" wp14:anchorId="61ACAC9C" wp14:editId="3866C460">
                <wp:simplePos x="0" y="0"/>
                <wp:positionH relativeFrom="column">
                  <wp:posOffset>2286000</wp:posOffset>
                </wp:positionH>
                <wp:positionV relativeFrom="paragraph">
                  <wp:posOffset>63500</wp:posOffset>
                </wp:positionV>
                <wp:extent cx="228600" cy="215900"/>
                <wp:effectExtent l="0" t="0" r="0" b="0"/>
                <wp:wrapNone/>
                <wp:docPr id="1948042025" name="Rettangolo 1948042025"/>
                <wp:cNvGraphicFramePr/>
                <a:graphic xmlns:a="http://schemas.openxmlformats.org/drawingml/2006/main">
                  <a:graphicData uri="http://schemas.microsoft.com/office/word/2010/wordprocessingShape">
                    <wps:wsp>
                      <wps:cNvSpPr/>
                      <wps:spPr>
                        <a:xfrm>
                          <a:off x="5238050" y="3678400"/>
                          <a:ext cx="215900" cy="203200"/>
                        </a:xfrm>
                        <a:prstGeom prst="rect">
                          <a:avLst/>
                        </a:prstGeom>
                        <a:noFill/>
                        <a:ln w="12700" cap="flat" cmpd="sng">
                          <a:solidFill>
                            <a:srgbClr val="264159"/>
                          </a:solidFill>
                          <a:prstDash val="solid"/>
                          <a:miter lim="800000"/>
                          <a:headEnd type="none" w="sm" len="sm"/>
                          <a:tailEnd type="none" w="sm" len="sm"/>
                        </a:ln>
                      </wps:spPr>
                      <wps:txbx>
                        <w:txbxContent>
                          <w:p w14:paraId="20BC6CE9" w14:textId="77777777" w:rsidR="00287381" w:rsidRDefault="00287381">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2286000</wp:posOffset>
                </wp:positionH>
                <wp:positionV relativeFrom="paragraph">
                  <wp:posOffset>63500</wp:posOffset>
                </wp:positionV>
                <wp:extent cx="228600" cy="215900"/>
                <wp:effectExtent b="0" l="0" r="0" t="0"/>
                <wp:wrapNone/>
                <wp:docPr id="1948042025" name="image5.png"/>
                <a:graphic>
                  <a:graphicData uri="http://schemas.openxmlformats.org/drawingml/2006/picture">
                    <pic:pic>
                      <pic:nvPicPr>
                        <pic:cNvPr id="0" name="image5.png"/>
                        <pic:cNvPicPr preferRelativeResize="0"/>
                      </pic:nvPicPr>
                      <pic:blipFill>
                        <a:blip r:embed="rId10"/>
                        <a:srcRect/>
                        <a:stretch>
                          <a:fillRect/>
                        </a:stretch>
                      </pic:blipFill>
                      <pic:spPr>
                        <a:xfrm>
                          <a:off x="0" y="0"/>
                          <a:ext cx="228600" cy="215900"/>
                        </a:xfrm>
                        <a:prstGeom prst="rect"/>
                        <a:ln/>
                      </pic:spPr>
                    </pic:pic>
                  </a:graphicData>
                </a:graphic>
              </wp:anchor>
            </w:drawing>
          </mc:Fallback>
        </mc:AlternateContent>
      </w:r>
      <w:r>
        <w:rPr>
          <w:noProof/>
        </w:rPr>
        <mc:AlternateContent>
          <mc:Choice Requires="wpg">
            <w:drawing>
              <wp:anchor distT="0" distB="0" distL="114300" distR="114300" simplePos="0" relativeHeight="251661312" behindDoc="0" locked="0" layoutInCell="1" hidden="0" allowOverlap="1" wp14:anchorId="59885956" wp14:editId="5ED81680">
                <wp:simplePos x="0" y="0"/>
                <wp:positionH relativeFrom="column">
                  <wp:posOffset>2984500</wp:posOffset>
                </wp:positionH>
                <wp:positionV relativeFrom="paragraph">
                  <wp:posOffset>63500</wp:posOffset>
                </wp:positionV>
                <wp:extent cx="228600" cy="215900"/>
                <wp:effectExtent l="0" t="0" r="0" b="0"/>
                <wp:wrapNone/>
                <wp:docPr id="1948042024" name="Rettangolo 1948042024"/>
                <wp:cNvGraphicFramePr/>
                <a:graphic xmlns:a="http://schemas.openxmlformats.org/drawingml/2006/main">
                  <a:graphicData uri="http://schemas.microsoft.com/office/word/2010/wordprocessingShape">
                    <wps:wsp>
                      <wps:cNvSpPr/>
                      <wps:spPr>
                        <a:xfrm>
                          <a:off x="5238050" y="3678400"/>
                          <a:ext cx="215900" cy="203200"/>
                        </a:xfrm>
                        <a:prstGeom prst="rect">
                          <a:avLst/>
                        </a:prstGeom>
                        <a:noFill/>
                        <a:ln w="12700" cap="flat" cmpd="sng">
                          <a:solidFill>
                            <a:srgbClr val="264159"/>
                          </a:solidFill>
                          <a:prstDash val="solid"/>
                          <a:miter lim="800000"/>
                          <a:headEnd type="none" w="sm" len="sm"/>
                          <a:tailEnd type="none" w="sm" len="sm"/>
                        </a:ln>
                      </wps:spPr>
                      <wps:txbx>
                        <w:txbxContent>
                          <w:p w14:paraId="72505F7B" w14:textId="77777777" w:rsidR="00287381" w:rsidRDefault="00287381">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2984500</wp:posOffset>
                </wp:positionH>
                <wp:positionV relativeFrom="paragraph">
                  <wp:posOffset>63500</wp:posOffset>
                </wp:positionV>
                <wp:extent cx="228600" cy="215900"/>
                <wp:effectExtent b="0" l="0" r="0" t="0"/>
                <wp:wrapNone/>
                <wp:docPr id="1948042024"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228600" cy="215900"/>
                        </a:xfrm>
                        <a:prstGeom prst="rect"/>
                        <a:ln/>
                      </pic:spPr>
                    </pic:pic>
                  </a:graphicData>
                </a:graphic>
              </wp:anchor>
            </w:drawing>
          </mc:Fallback>
        </mc:AlternateContent>
      </w:r>
    </w:p>
    <w:p w14:paraId="45FAD758" w14:textId="77777777" w:rsidR="00287381" w:rsidRDefault="00287381">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p>
    <w:p w14:paraId="43242E06" w14:textId="77777777" w:rsidR="00287381" w:rsidRDefault="00E07BDA">
      <w:pPr>
        <w:pBdr>
          <w:top w:val="nil"/>
          <w:left w:val="nil"/>
          <w:bottom w:val="nil"/>
          <w:right w:val="nil"/>
          <w:between w:val="nil"/>
        </w:pBdr>
        <w:tabs>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Con riferimento a tutti i soggetti sopra indicati si allega alla presente:</w:t>
      </w:r>
    </w:p>
    <w:p w14:paraId="5E067AF6" w14:textId="77777777" w:rsidR="00287381" w:rsidRDefault="00E07BDA">
      <w:pPr>
        <w:numPr>
          <w:ilvl w:val="0"/>
          <w:numId w:val="1"/>
        </w:numPr>
        <w:pBdr>
          <w:top w:val="nil"/>
          <w:left w:val="nil"/>
          <w:bottom w:val="nil"/>
          <w:right w:val="nil"/>
          <w:between w:val="nil"/>
        </w:pBdr>
        <w:tabs>
          <w:tab w:val="left" w:pos="851"/>
          <w:tab w:val="left" w:pos="9689"/>
        </w:tabs>
        <w:spacing w:before="91"/>
        <w:ind w:left="113" w:firstLine="0"/>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copia dei documenti di identità del rappresentante legale e dei titolari effettivi, i cui estremi sono stati riportati nella presente dichiarazione;</w:t>
      </w:r>
    </w:p>
    <w:p w14:paraId="39A826F4" w14:textId="77777777" w:rsidR="00287381" w:rsidRDefault="00E07BDA">
      <w:pPr>
        <w:numPr>
          <w:ilvl w:val="0"/>
          <w:numId w:val="1"/>
        </w:numPr>
        <w:pBdr>
          <w:top w:val="nil"/>
          <w:left w:val="nil"/>
          <w:bottom w:val="nil"/>
          <w:right w:val="nil"/>
          <w:between w:val="nil"/>
        </w:pBdr>
        <w:tabs>
          <w:tab w:val="left" w:pos="851"/>
          <w:tab w:val="left" w:pos="9689"/>
        </w:tabs>
        <w:spacing w:before="91"/>
        <w:ind w:left="113" w:firstLine="0"/>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copia dei documenti (tessera sanitaria, carta di identità elettronica) attestanti il rilascio del codice fiscale del rappresentante legale e dei titolari effettivi.</w:t>
      </w:r>
    </w:p>
    <w:p w14:paraId="02EB3496" w14:textId="77777777" w:rsidR="00287381" w:rsidRDefault="00287381">
      <w:pPr>
        <w:pBdr>
          <w:top w:val="nil"/>
          <w:left w:val="nil"/>
          <w:bottom w:val="nil"/>
          <w:right w:val="nil"/>
          <w:between w:val="nil"/>
        </w:pBdr>
        <w:tabs>
          <w:tab w:val="left" w:pos="851"/>
          <w:tab w:val="left" w:pos="9689"/>
        </w:tabs>
        <w:spacing w:before="91"/>
        <w:ind w:left="113"/>
        <w:jc w:val="both"/>
        <w:rPr>
          <w:rFonts w:ascii="Titillium Regular Upright" w:eastAsia="Titillium Regular Upright" w:hAnsi="Titillium Regular Upright" w:cs="Titillium Regular Upright"/>
          <w:color w:val="000000"/>
          <w:sz w:val="24"/>
          <w:szCs w:val="24"/>
        </w:rPr>
      </w:pPr>
    </w:p>
    <w:p w14:paraId="144D1F15" w14:textId="77777777" w:rsidR="00287381" w:rsidRDefault="00E07BDA">
      <w:pPr>
        <w:pBdr>
          <w:top w:val="nil"/>
          <w:left w:val="nil"/>
          <w:bottom w:val="nil"/>
          <w:right w:val="nil"/>
          <w:between w:val="nil"/>
        </w:pBdr>
        <w:tabs>
          <w:tab w:val="left" w:pos="851"/>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Dichiara, infine, di avere preso visione dell’informativa sul trattamento dei dati personali nel rispetto del Regolamento (UE) 679/2016, del decreto legislativo 30 giugno 2003, n. 196, così come novellato dal decreto legislativo 10 agosto 2018, n. 101, nonché secondo le disposizioni contenute nell’art. 22 del Regolamento (UE) 2021/241.</w:t>
      </w:r>
    </w:p>
    <w:p w14:paraId="6DAE3222" w14:textId="77777777" w:rsidR="00287381" w:rsidRDefault="00287381">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p>
    <w:p w14:paraId="4EC63A76"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Titolare effettivo</w:t>
      </w:r>
    </w:p>
    <w:p w14:paraId="25BDA14D"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 xml:space="preserve">Art. 1 comma 2 lettera pp) del D.lgs. 231/2007 e s.m.i. pp) titolare effettivo: la persona fisica o le persone fisiche, diverse dal cliente, nell'interesse della quale o delle quali, in ultima istanza, il rapporto continuativo è istaurato, la prestazione professionale è resa o l'operazione è eseguita; </w:t>
      </w:r>
      <w:r>
        <w:rPr>
          <w:rFonts w:ascii="Titillium Regular Upright" w:eastAsia="Titillium Regular Upright" w:hAnsi="Titillium Regular Upright" w:cs="Titillium Regular Upright"/>
          <w:color w:val="000000"/>
          <w:sz w:val="24"/>
          <w:szCs w:val="24"/>
        </w:rPr>
        <w:lastRenderedPageBreak/>
        <w:t>Art. 20 del D.lgs. 231/2007 e s.m.i.</w:t>
      </w:r>
    </w:p>
    <w:p w14:paraId="76E1D80B"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1. Il titolare effettivo di clienti diversi dalle persone fisiche coincide con la persona fisica o le persone fisiche cui, in ultima istanza, è attribuibile la proprietà diretta o indiretta dell'ente ovvero il relativo controllo.</w:t>
      </w:r>
    </w:p>
    <w:p w14:paraId="512A0C5D"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2. Nel caso in cui il cliente sia una società di capitali: a) costituisce indicazione di proprietà diretta la titolarità di una partecipazione superiore al 25 per cento del capitale del cliente, detenuta da una persona fisica; b) costituisce indicazione di proprietà indiretta la titolarità di una percentuale di partecipazioni superiore al 25 per cento del capitale del cliente, posseduto per il tramite di società controllate, società fiduciarie o per interposta persona.</w:t>
      </w:r>
    </w:p>
    <w:p w14:paraId="55293B0D"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3. Nelle ipotesi in cui l'esame dell'assetto proprietario non consenta di individuare in maniera univoca la persona fisica o le persone fisiche cui attribuibile la proprietà diretta o indiretta dell'ente, il titolare effettivo coincide con la persona fisica o le persone fisiche cui, in ultima istanza, è attribuibile il controllo del medesimo in forza: a) del controllo della maggioranza dei voti esercitabili in assemblea ordinaria; b) del controllo di voti sufficienti per esercitare un'influenza dominante in</w:t>
      </w:r>
      <w:r>
        <w:rPr>
          <w:rFonts w:ascii="Titillium Regular Upright" w:eastAsia="Titillium Regular Upright" w:hAnsi="Titillium Regular Upright" w:cs="Titillium Regular Upright"/>
          <w:color w:val="000000"/>
          <w:sz w:val="24"/>
          <w:szCs w:val="24"/>
        </w:rPr>
        <w:t xml:space="preserve"> assemblea ordinaria; c) dell'esistenza di particolari vincoli contrattuali che consentano di esercitare un'influenza dominante.</w:t>
      </w:r>
    </w:p>
    <w:p w14:paraId="29CB57D0"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4. Qualora l'applicazione dei criteri di cui ai precedenti commi non consenta di individuare univocamente uno o più titolari effettivi, il titolare effettivo coincide con la persona fisica o le persone fisiche titolari di poteri di amministrazione o direzione della società.</w:t>
      </w:r>
    </w:p>
    <w:p w14:paraId="78F4843A"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5. Nel caso in cui il cliente sia una persona giuridica privata, di cui al decreto del Presidente della Repubblica10 febbraio 2000, n. 361, sono cumulativamente individuati, come titolari effettivi: a) i fondatori, ove in vita; b) i beneficiari, quando individuati o facilmente individuabili; c) i titolari di funzioni di direzione e amministrazione.</w:t>
      </w:r>
    </w:p>
    <w:p w14:paraId="578191B7"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Persona Politicamente Esposta</w:t>
      </w:r>
    </w:p>
    <w:p w14:paraId="20C00202"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Art. 1 comma 2 lettera dd) del D.lgs. 231/2007 e s.m.i. dd) persone politicamente esposte: le persone fisiche che occupano o hanno cessato di occupare da meno di un anno importanti cariche pubbliche, nonché' i loro familiari e coloro che con i predetti soggetti intrattengono notoriamente stretti legami, come di seguito elencate:</w:t>
      </w:r>
    </w:p>
    <w:p w14:paraId="0119C91E"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1. Sono persone fisiche che occupano o hanno occupato importanti cariche pubbliche coloro che ricoprono o hanno ricoperto la carica di: 1.1 Presidente della Repubblica, Presidente del Consiglio, Ministro, Vice-Ministro e Sottosegretario, Presidente di Regione, assessore regionale, Sindaco di capoluogo di provincia o città metropolitana, Sindaco di comune con popolazione non inferiore a 15.000 abitanti nonché' cariche analoghe in Stati esteri; 1.2 deputato, senatore, parlamentare europeo, consigliere regiona</w:t>
      </w:r>
      <w:r>
        <w:rPr>
          <w:rFonts w:ascii="Titillium Regular Upright" w:eastAsia="Titillium Regular Upright" w:hAnsi="Titillium Regular Upright" w:cs="Titillium Regular Upright"/>
          <w:color w:val="000000"/>
          <w:sz w:val="24"/>
          <w:szCs w:val="24"/>
        </w:rPr>
        <w:t xml:space="preserve">le nonché' cariche analoghe in Stati esteri; 1.3 membro degli organi direttivi centrali di partiti politici; 1.4 giudice della Corte Costituzionale, magistrato della Corte di Cassazione o della Corte dei conti, consigliere di Stato e altri componenti del Consiglio di Giustizia Amministrativa per la Regione siciliana nonché' cariche analoghe in Stati esteri; 1.5 membro degli organi direttivi delle banche centrali e delle autorità indipendenti; 1.6 ambasciatore, incaricato d'affari ovvero cariche equivalenti </w:t>
      </w:r>
      <w:r>
        <w:rPr>
          <w:rFonts w:ascii="Titillium Regular Upright" w:eastAsia="Titillium Regular Upright" w:hAnsi="Titillium Regular Upright" w:cs="Titillium Regular Upright"/>
          <w:color w:val="000000"/>
          <w:sz w:val="24"/>
          <w:szCs w:val="24"/>
        </w:rPr>
        <w:t>in Stati esteri, ufficiale di grado apicale delle forze armate ovvero cariche analoghe in Stati esteri; 1.7 componente degli organi di amministrazione, direzione o controllo delle imprese controllate, anche indirettamente, dallo Stato italiano o da uno Stato estero ovvero partecipate, in misura prevalente o totalitaria, dalle Regioni, da comuni capoluoghi di provincia e città metropolitane e da comuni con popolazione complessivamente non inferiore a 15.000 abitanti; 1.8 direttore generale di ASL e di aziend</w:t>
      </w:r>
      <w:r>
        <w:rPr>
          <w:rFonts w:ascii="Titillium Regular Upright" w:eastAsia="Titillium Regular Upright" w:hAnsi="Titillium Regular Upright" w:cs="Titillium Regular Upright"/>
          <w:color w:val="000000"/>
          <w:sz w:val="24"/>
          <w:szCs w:val="24"/>
        </w:rPr>
        <w:t xml:space="preserve">a ospedaliera, di azienda ospedaliera </w:t>
      </w:r>
      <w:r>
        <w:rPr>
          <w:rFonts w:ascii="Titillium Regular Upright" w:eastAsia="Titillium Regular Upright" w:hAnsi="Titillium Regular Upright" w:cs="Titillium Regular Upright"/>
          <w:color w:val="000000"/>
          <w:sz w:val="24"/>
          <w:szCs w:val="24"/>
        </w:rPr>
        <w:lastRenderedPageBreak/>
        <w:t>universitaria e degli altri enti del servizio sanitario nazionale. 1.9 direttore, vicedirettore e membro dell'organo di gestione o soggetto svolgenti funzioni equivalenti in organizzazioni internazionali;</w:t>
      </w:r>
    </w:p>
    <w:p w14:paraId="554534D3"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2. Sono familiari di persone politicamente esposte: i genitori, il coniuge o la persona legata in unione civile o convivenza di fatto o istituti assimilabili alla persona politicamente esposta, i figli e i loro coniugi nonché' le persone legate ai figli in unione civile o convivenza di fatto o istituti assimilabili;</w:t>
      </w:r>
    </w:p>
    <w:p w14:paraId="5B0873F2"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3. Sono soggetti con i quali le persone politicamente esposte intrattengono notoriamente stretti legami: 3.1 le persone fisiche legate alla persona politicamente esposta per via della titolarità effettiva congiunta di enti giuridici o di altro stretto rapporto di affari; 3.2 le persone fisiche che detengono solo formalmente il controllo totalitario di un’entità notoriamente costituita, di fatto, nell'interesse e a beneficio di una persona politicamente esposta;</w:t>
      </w:r>
    </w:p>
    <w:p w14:paraId="6E54E26E"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Art. 24 comma 6 del D.lgs. 231/2007 e s.m.i.</w:t>
      </w:r>
    </w:p>
    <w:p w14:paraId="497F75CB"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6. I soggetti obbligati, in presenza di un elevato rischio di riciclaggio o di finanziamento del terrorismo applicano misure di adeguata verifica rafforzata di clienti che, originariamente individuati come persone politicamente esposte, abbiano cessato di rivestire le relative cariche pubbliche da più di un anno. La medesima disposizione si applica anche nelle ipotesi in cui il beneficiario della prestazione assicurativa o il titolare effettivo del beneficiario siano state persone politicamente esposte.</w:t>
      </w:r>
    </w:p>
    <w:p w14:paraId="39D6D2E0" w14:textId="77777777" w:rsidR="00287381" w:rsidRDefault="00287381">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p>
    <w:p w14:paraId="0164A4F5"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 xml:space="preserve">LUOGO e DATA </w:t>
      </w:r>
      <w:r>
        <w:rPr>
          <w:rFonts w:ascii="Titillium Regular Upright" w:eastAsia="Titillium Regular Upright" w:hAnsi="Titillium Regular Upright" w:cs="Titillium Regular Upright"/>
          <w:color w:val="000000"/>
          <w:sz w:val="24"/>
          <w:szCs w:val="24"/>
        </w:rPr>
        <w:tab/>
        <w:t xml:space="preserve">        FIRMA</w:t>
      </w:r>
    </w:p>
    <w:p w14:paraId="0D190CB8" w14:textId="77777777" w:rsidR="00287381" w:rsidRDefault="00E07BDA">
      <w:pPr>
        <w:pBdr>
          <w:top w:val="nil"/>
          <w:left w:val="nil"/>
          <w:bottom w:val="nil"/>
          <w:right w:val="nil"/>
          <w:between w:val="nil"/>
        </w:pBdr>
        <w:tabs>
          <w:tab w:val="left" w:pos="5809"/>
          <w:tab w:val="left" w:pos="8498"/>
          <w:tab w:val="left" w:pos="9689"/>
        </w:tabs>
        <w:spacing w:before="91"/>
        <w:ind w:left="113"/>
        <w:jc w:val="both"/>
        <w:rPr>
          <w:rFonts w:ascii="Titillium Regular Upright" w:eastAsia="Titillium Regular Upright" w:hAnsi="Titillium Regular Upright" w:cs="Titillium Regular Upright"/>
          <w:color w:val="000000"/>
          <w:sz w:val="24"/>
          <w:szCs w:val="24"/>
        </w:rPr>
      </w:pPr>
      <w:r>
        <w:rPr>
          <w:rFonts w:ascii="Titillium Regular Upright" w:eastAsia="Titillium Regular Upright" w:hAnsi="Titillium Regular Upright" w:cs="Titillium Regular Upright"/>
          <w:color w:val="000000"/>
          <w:sz w:val="24"/>
          <w:szCs w:val="24"/>
        </w:rPr>
        <w:t xml:space="preserve">_______________________ </w:t>
      </w:r>
      <w:r>
        <w:rPr>
          <w:rFonts w:ascii="Titillium Regular Upright" w:eastAsia="Titillium Regular Upright" w:hAnsi="Titillium Regular Upright" w:cs="Titillium Regular Upright"/>
          <w:color w:val="000000"/>
          <w:sz w:val="24"/>
          <w:szCs w:val="24"/>
        </w:rPr>
        <w:tab/>
        <w:t>_____________________</w:t>
      </w:r>
    </w:p>
    <w:p w14:paraId="1509ADCA" w14:textId="77777777" w:rsidR="00287381" w:rsidRDefault="00287381">
      <w:pPr>
        <w:pBdr>
          <w:top w:val="nil"/>
          <w:left w:val="nil"/>
          <w:bottom w:val="nil"/>
          <w:right w:val="nil"/>
          <w:between w:val="nil"/>
        </w:pBdr>
        <w:tabs>
          <w:tab w:val="left" w:pos="5809"/>
          <w:tab w:val="left" w:pos="8498"/>
          <w:tab w:val="left" w:pos="9689"/>
        </w:tabs>
        <w:spacing w:before="91"/>
        <w:ind w:left="113"/>
        <w:rPr>
          <w:rFonts w:ascii="Titillium Regular Upright" w:eastAsia="Titillium Regular Upright" w:hAnsi="Titillium Regular Upright" w:cs="Titillium Regular Upright"/>
          <w:color w:val="000000"/>
          <w:sz w:val="24"/>
          <w:szCs w:val="24"/>
        </w:rPr>
      </w:pPr>
    </w:p>
    <w:p w14:paraId="2F5CCD2D" w14:textId="77777777" w:rsidR="00287381" w:rsidRDefault="00E07BDA">
      <w:pPr>
        <w:pBdr>
          <w:top w:val="nil"/>
          <w:left w:val="nil"/>
          <w:bottom w:val="nil"/>
          <w:right w:val="nil"/>
          <w:between w:val="nil"/>
        </w:pBdr>
        <w:tabs>
          <w:tab w:val="left" w:pos="5809"/>
          <w:tab w:val="left" w:pos="8498"/>
          <w:tab w:val="left" w:pos="9689"/>
        </w:tabs>
        <w:spacing w:before="91"/>
        <w:ind w:left="113"/>
        <w:rPr>
          <w:rFonts w:ascii="Titillium Regular Upright" w:eastAsia="Titillium Regular Upright" w:hAnsi="Titillium Regular Upright" w:cs="Titillium Regular Upright"/>
          <w:i/>
          <w:color w:val="000000"/>
          <w:sz w:val="24"/>
          <w:szCs w:val="24"/>
        </w:rPr>
      </w:pPr>
      <w:r>
        <w:rPr>
          <w:rFonts w:ascii="Titillium Regular Upright" w:eastAsia="Titillium Regular Upright" w:hAnsi="Titillium Regular Upright" w:cs="Titillium Regular Upright"/>
          <w:color w:val="000000"/>
          <w:sz w:val="24"/>
          <w:szCs w:val="24"/>
        </w:rPr>
        <w:t>Si allega copia fotostatica del documento di identità, in corso di validità (art. 38 del D.P.R. 445/2000 e ss.mm.ii)</w:t>
      </w:r>
    </w:p>
    <w:p w14:paraId="16380EAE" w14:textId="77777777" w:rsidR="00287381" w:rsidRDefault="00287381">
      <w:pPr>
        <w:tabs>
          <w:tab w:val="left" w:pos="9638"/>
        </w:tabs>
        <w:jc w:val="right"/>
        <w:rPr>
          <w:rFonts w:ascii="Titillium Web" w:eastAsia="Titillium Web" w:hAnsi="Titillium Web" w:cs="Titillium Web"/>
          <w:sz w:val="24"/>
          <w:szCs w:val="24"/>
        </w:rPr>
      </w:pPr>
    </w:p>
    <w:p w14:paraId="7F97E470" w14:textId="77777777" w:rsidR="00287381" w:rsidRDefault="00287381">
      <w:pPr>
        <w:tabs>
          <w:tab w:val="left" w:pos="9638"/>
        </w:tabs>
        <w:jc w:val="right"/>
        <w:rPr>
          <w:rFonts w:ascii="Titillium Web" w:eastAsia="Titillium Web" w:hAnsi="Titillium Web" w:cs="Titillium Web"/>
          <w:sz w:val="24"/>
          <w:szCs w:val="24"/>
        </w:rPr>
      </w:pPr>
    </w:p>
    <w:p w14:paraId="0123A03A" w14:textId="77777777" w:rsidR="00287381" w:rsidRDefault="00287381">
      <w:pPr>
        <w:tabs>
          <w:tab w:val="left" w:pos="9638"/>
        </w:tabs>
        <w:jc w:val="right"/>
        <w:rPr>
          <w:rFonts w:ascii="Titillium Web" w:eastAsia="Titillium Web" w:hAnsi="Titillium Web" w:cs="Titillium Web"/>
          <w:sz w:val="24"/>
          <w:szCs w:val="24"/>
        </w:rPr>
      </w:pPr>
    </w:p>
    <w:p w14:paraId="4EC692C8" w14:textId="77777777" w:rsidR="00287381" w:rsidRDefault="00287381">
      <w:pPr>
        <w:tabs>
          <w:tab w:val="left" w:pos="9638"/>
        </w:tabs>
        <w:jc w:val="right"/>
        <w:rPr>
          <w:rFonts w:ascii="Titillium Web" w:eastAsia="Titillium Web" w:hAnsi="Titillium Web" w:cs="Titillium Web"/>
          <w:sz w:val="24"/>
          <w:szCs w:val="24"/>
        </w:rPr>
      </w:pPr>
    </w:p>
    <w:p w14:paraId="32F9E7F6" w14:textId="77777777" w:rsidR="00287381" w:rsidRDefault="00287381">
      <w:pPr>
        <w:tabs>
          <w:tab w:val="left" w:pos="9638"/>
        </w:tabs>
        <w:jc w:val="right"/>
        <w:rPr>
          <w:rFonts w:ascii="Titillium Web" w:eastAsia="Titillium Web" w:hAnsi="Titillium Web" w:cs="Titillium Web"/>
          <w:sz w:val="24"/>
          <w:szCs w:val="24"/>
        </w:rPr>
      </w:pPr>
    </w:p>
    <w:p w14:paraId="38449D7D" w14:textId="77777777" w:rsidR="00287381" w:rsidRDefault="00287381">
      <w:pPr>
        <w:tabs>
          <w:tab w:val="left" w:pos="9638"/>
        </w:tabs>
        <w:jc w:val="right"/>
        <w:rPr>
          <w:rFonts w:ascii="Titillium Web" w:eastAsia="Titillium Web" w:hAnsi="Titillium Web" w:cs="Titillium Web"/>
          <w:sz w:val="24"/>
          <w:szCs w:val="24"/>
        </w:rPr>
      </w:pPr>
    </w:p>
    <w:p w14:paraId="3B5A8513" w14:textId="77777777" w:rsidR="00287381" w:rsidRDefault="00287381">
      <w:pPr>
        <w:tabs>
          <w:tab w:val="left" w:pos="9638"/>
        </w:tabs>
        <w:jc w:val="right"/>
        <w:rPr>
          <w:rFonts w:ascii="Titillium Web" w:eastAsia="Titillium Web" w:hAnsi="Titillium Web" w:cs="Titillium Web"/>
          <w:sz w:val="24"/>
          <w:szCs w:val="24"/>
        </w:rPr>
      </w:pPr>
    </w:p>
    <w:p w14:paraId="1AAFFA61" w14:textId="77777777" w:rsidR="00287381" w:rsidRDefault="00287381">
      <w:pPr>
        <w:tabs>
          <w:tab w:val="left" w:pos="9638"/>
        </w:tabs>
        <w:jc w:val="right"/>
        <w:rPr>
          <w:rFonts w:ascii="Titillium Web" w:eastAsia="Titillium Web" w:hAnsi="Titillium Web" w:cs="Titillium Web"/>
          <w:sz w:val="24"/>
          <w:szCs w:val="24"/>
        </w:rPr>
      </w:pPr>
    </w:p>
    <w:p w14:paraId="6C2511DC" w14:textId="77777777" w:rsidR="00287381" w:rsidRDefault="00287381">
      <w:pPr>
        <w:tabs>
          <w:tab w:val="left" w:pos="9638"/>
        </w:tabs>
        <w:jc w:val="right"/>
        <w:rPr>
          <w:rFonts w:ascii="Titillium Web" w:eastAsia="Titillium Web" w:hAnsi="Titillium Web" w:cs="Titillium Web"/>
          <w:sz w:val="24"/>
          <w:szCs w:val="24"/>
        </w:rPr>
      </w:pPr>
    </w:p>
    <w:p w14:paraId="652B0EB8" w14:textId="77777777" w:rsidR="00287381" w:rsidRDefault="00287381">
      <w:pPr>
        <w:tabs>
          <w:tab w:val="left" w:pos="9638"/>
        </w:tabs>
        <w:jc w:val="right"/>
        <w:rPr>
          <w:rFonts w:ascii="Titillium Web" w:eastAsia="Titillium Web" w:hAnsi="Titillium Web" w:cs="Titillium Web"/>
          <w:sz w:val="24"/>
          <w:szCs w:val="24"/>
        </w:rPr>
      </w:pPr>
    </w:p>
    <w:p w14:paraId="3FE094F7" w14:textId="77777777" w:rsidR="00287381" w:rsidRDefault="00287381">
      <w:pPr>
        <w:tabs>
          <w:tab w:val="left" w:pos="9638"/>
        </w:tabs>
        <w:jc w:val="right"/>
        <w:rPr>
          <w:rFonts w:ascii="Titillium Web" w:eastAsia="Titillium Web" w:hAnsi="Titillium Web" w:cs="Titillium Web"/>
          <w:sz w:val="24"/>
          <w:szCs w:val="24"/>
        </w:rPr>
      </w:pPr>
    </w:p>
    <w:p w14:paraId="25BFA5B1" w14:textId="77777777" w:rsidR="00287381" w:rsidRDefault="00287381">
      <w:pPr>
        <w:tabs>
          <w:tab w:val="left" w:pos="9638"/>
        </w:tabs>
        <w:jc w:val="right"/>
        <w:rPr>
          <w:rFonts w:ascii="Titillium Web" w:eastAsia="Titillium Web" w:hAnsi="Titillium Web" w:cs="Titillium Web"/>
          <w:sz w:val="24"/>
          <w:szCs w:val="24"/>
        </w:rPr>
      </w:pPr>
    </w:p>
    <w:p w14:paraId="44444899" w14:textId="77777777" w:rsidR="00287381" w:rsidRDefault="00E07BDA">
      <w:pPr>
        <w:tabs>
          <w:tab w:val="left" w:pos="9638"/>
        </w:tabs>
        <w:spacing w:before="240" w:after="240"/>
        <w:jc w:val="center"/>
        <w:rPr>
          <w:rFonts w:ascii="Titillium Web" w:eastAsia="Titillium Web" w:hAnsi="Titillium Web" w:cs="Titillium Web"/>
          <w:b/>
          <w:sz w:val="24"/>
          <w:szCs w:val="24"/>
        </w:rPr>
      </w:pPr>
      <w:r>
        <w:rPr>
          <w:rFonts w:ascii="Titillium Web" w:eastAsia="Titillium Web" w:hAnsi="Titillium Web" w:cs="Titillium Web"/>
          <w:b/>
          <w:sz w:val="24"/>
          <w:szCs w:val="24"/>
        </w:rPr>
        <w:t>ISTRUZIONI PER L’IDENTIFICAZIONE DEL TITOLARE EFFETTIVO</w:t>
      </w:r>
    </w:p>
    <w:p w14:paraId="0AA1F27F" w14:textId="77777777" w:rsidR="00287381" w:rsidRDefault="00E07BDA">
      <w:pPr>
        <w:tabs>
          <w:tab w:val="left" w:pos="9638"/>
        </w:tabs>
        <w:spacing w:before="240" w:after="240"/>
        <w:jc w:val="center"/>
        <w:rPr>
          <w:rFonts w:ascii="Titillium Web" w:eastAsia="Titillium Web" w:hAnsi="Titillium Web" w:cs="Titillium Web"/>
          <w:b/>
          <w:sz w:val="24"/>
          <w:szCs w:val="24"/>
        </w:rPr>
      </w:pPr>
      <w:r>
        <w:rPr>
          <w:rFonts w:ascii="Titillium Web" w:eastAsia="Titillium Web" w:hAnsi="Titillium Web" w:cs="Titillium Web"/>
          <w:b/>
          <w:sz w:val="24"/>
          <w:szCs w:val="24"/>
        </w:rPr>
        <w:t>1.NORMATIVA DI RIFERIMENTO</w:t>
      </w:r>
    </w:p>
    <w:p w14:paraId="01E0AE9C" w14:textId="77777777" w:rsidR="00287381" w:rsidRDefault="00E07BDA">
      <w:pPr>
        <w:tabs>
          <w:tab w:val="left" w:pos="9638"/>
        </w:tabs>
        <w:spacing w:before="240" w:after="240"/>
        <w:jc w:val="both"/>
        <w:rPr>
          <w:rFonts w:ascii="Titillium Web" w:eastAsia="Titillium Web" w:hAnsi="Titillium Web" w:cs="Titillium Web"/>
          <w:sz w:val="24"/>
          <w:szCs w:val="24"/>
        </w:rPr>
      </w:pPr>
      <w:r>
        <w:rPr>
          <w:rFonts w:ascii="Titillium Web" w:eastAsia="Titillium Web" w:hAnsi="Titillium Web" w:cs="Titillium Web"/>
          <w:sz w:val="24"/>
          <w:szCs w:val="24"/>
        </w:rPr>
        <w:lastRenderedPageBreak/>
        <w:t>Secondo la Normativa Antiriciclaggio (d.lgs. 21 novembre 2007 n. 231), il titolare effettivo è la persona fisica per conto della quale è realizzata un’operazione o un’attività. Nel caso di un’entità giuridica, si tratta di quella persona fisica – o le persone – che, possedendo suddetta entità, ne risulta beneficiaria. Tutte le entità giuridiche devono perciò essere dotate di titolare effettivo, fatta eccezione per imprese individuali e liberi professionisti, in cui il titolare effettivo coincide con la pers</w:t>
      </w:r>
      <w:r>
        <w:rPr>
          <w:rFonts w:ascii="Titillium Web" w:eastAsia="Titillium Web" w:hAnsi="Titillium Web" w:cs="Titillium Web"/>
          <w:sz w:val="24"/>
          <w:szCs w:val="24"/>
        </w:rPr>
        <w:t>ona fisica. Alla luce di quanto previsto dal Decreto Ministeriale MEF n. 55 dell’11 Marzo 2022 “Regolamento recante disposizioni in materia di comunicazione, accesso e consultazione dei dati e delle informazioni relativi alla titolarità effettiva di imprese dotate di personalità giuridica, di persone giuridiche private, di trust produttivi di effetti giuridici rilevanti ai fini fiscali e di istituti giuridici affini al trust”, e dalle “Linee Guida per lo svolgimento delle attività di controllo e rendicontaz</w:t>
      </w:r>
      <w:r>
        <w:rPr>
          <w:rFonts w:ascii="Titillium Web" w:eastAsia="Titillium Web" w:hAnsi="Titillium Web" w:cs="Titillium Web"/>
          <w:sz w:val="24"/>
          <w:szCs w:val="24"/>
        </w:rPr>
        <w:t xml:space="preserve">ione degli interventi PNRR di competenza delle Amministrazioni centrali e dei Soggetti attuatori” emanate dal MEF - Servizio centrale per il PNRR con circolare n.30 dell’11 agosto 2022, anche i soggetti partecipanti ad avvisi e bandi del PNRR hanno l’obbligo di fornire i dati necessari per l’identificazione del titolare effettivo. Anche la Comunicazione UIF dell’11 aprile 2022 ribadisce l’importanza di accertare il “titolare effettivo” ex art. 22 Reg. 241/2021. In particolare “Ai fini degli accertamenti in </w:t>
      </w:r>
      <w:r>
        <w:rPr>
          <w:rFonts w:ascii="Titillium Web" w:eastAsia="Titillium Web" w:hAnsi="Titillium Web" w:cs="Titillium Web"/>
          <w:sz w:val="24"/>
          <w:szCs w:val="24"/>
        </w:rPr>
        <w:t>materia di titolarità effettiva, in analogia a quanto previsto per i destinatari degli obblighi di adeguata verifica dei clienti, è opportuno che le pubbliche amministrazioni tengano conto della nozione e delle indicazioni contenute nel d.lgs. 231/2007, si avvalgano degli ausili derivanti da database pubblici o privati, ove accessibili, e tengano evidenza dei criteri seguiti per l’individuazione della titolarità effettiva”.</w:t>
      </w:r>
    </w:p>
    <w:p w14:paraId="23973A31" w14:textId="77777777" w:rsidR="00287381" w:rsidRDefault="00E07BDA">
      <w:pPr>
        <w:tabs>
          <w:tab w:val="left" w:pos="9638"/>
        </w:tabs>
        <w:spacing w:before="240" w:after="240"/>
        <w:jc w:val="both"/>
        <w:rPr>
          <w:rFonts w:ascii="Titillium Web" w:eastAsia="Titillium Web" w:hAnsi="Titillium Web" w:cs="Titillium Web"/>
          <w:sz w:val="24"/>
          <w:szCs w:val="24"/>
        </w:rPr>
      </w:pPr>
      <w:r>
        <w:rPr>
          <w:rFonts w:ascii="Titillium Web" w:eastAsia="Titillium Web" w:hAnsi="Titillium Web" w:cs="Titillium Web"/>
          <w:sz w:val="24"/>
          <w:szCs w:val="24"/>
        </w:rPr>
        <w:t>Più in dettaglio, ai sensi dell’art. 1 del citato Decreto MEF n.44/2022, per l’individuazione del titolare effettivo, in caso di: - imprese dotate di personalità giuridica, si fa riferimento alla persona fisica o alle persone fisiche cui è riconducibile la proprietà diretta o indiretta ai sensi dell'articolo 20, commi 2, 3 e 5, del decreto antiriciclaggio; - persone giuridiche private, si fa riferimento ai soggetti individuati dall'articolo 20, comma 4, del decreto antiriciclaggio; - trust e istituti giurid</w:t>
      </w:r>
      <w:r>
        <w:rPr>
          <w:rFonts w:ascii="Titillium Web" w:eastAsia="Titillium Web" w:hAnsi="Titillium Web" w:cs="Titillium Web"/>
          <w:sz w:val="24"/>
          <w:szCs w:val="24"/>
        </w:rPr>
        <w:t>ici affini, si fa riferimento ai i soggetti individuati dall'articolo 22, comma 5, primo periodo, del decreto antiriciclaggio; I dati identificativi dei soggetti cui è riferita la titolarità effettiva sono: - il nome e il cognome; - il luogo e la data di nascita; - la residenza anagrafica; - il domicilio, se diverso dalla residenza anagrafica; - il codice fiscale.</w:t>
      </w:r>
    </w:p>
    <w:p w14:paraId="7BA02106" w14:textId="77777777" w:rsidR="00287381" w:rsidRDefault="00E07BDA">
      <w:pPr>
        <w:tabs>
          <w:tab w:val="left" w:pos="9638"/>
        </w:tabs>
        <w:spacing w:before="240" w:after="240"/>
        <w:jc w:val="center"/>
        <w:rPr>
          <w:rFonts w:ascii="Titillium Web" w:eastAsia="Titillium Web" w:hAnsi="Titillium Web" w:cs="Titillium Web"/>
          <w:b/>
          <w:sz w:val="24"/>
          <w:szCs w:val="24"/>
        </w:rPr>
      </w:pPr>
      <w:r>
        <w:rPr>
          <w:rFonts w:ascii="Titillium Web" w:eastAsia="Titillium Web" w:hAnsi="Titillium Web" w:cs="Titillium Web"/>
          <w:b/>
          <w:sz w:val="24"/>
          <w:szCs w:val="24"/>
        </w:rPr>
        <w:t>2. CRITERI PER L’INDIVIDUAZIONE DEL TITOLARE EFFETTIVO</w:t>
      </w:r>
    </w:p>
    <w:p w14:paraId="491FCF00" w14:textId="77777777" w:rsidR="00287381" w:rsidRDefault="00E07BDA">
      <w:pPr>
        <w:tabs>
          <w:tab w:val="left" w:pos="9638"/>
        </w:tabs>
        <w:spacing w:before="240" w:after="240"/>
        <w:jc w:val="both"/>
        <w:rPr>
          <w:rFonts w:ascii="Titillium Web" w:eastAsia="Titillium Web" w:hAnsi="Titillium Web" w:cs="Titillium Web"/>
          <w:sz w:val="24"/>
          <w:szCs w:val="24"/>
        </w:rPr>
      </w:pPr>
      <w:r>
        <w:rPr>
          <w:rFonts w:ascii="Titillium Web" w:eastAsia="Titillium Web" w:hAnsi="Titillium Web" w:cs="Titillium Web"/>
          <w:sz w:val="24"/>
          <w:szCs w:val="24"/>
        </w:rPr>
        <w:t xml:space="preserve">Le “Linee Guida per lo svolgimento delle attività di controllo e rendicontazione degli interventi PNRR di competenza delle Amministrazioni centrali e dei Soggetti attuatori” emanate dal MEF -Servizio centrale per il PNRR con circolare n.30 dell’11 agosto 2022, nel fare riferimento al d.lgs. n. 231/2007, come modificato dal d.lgs. n.125 del 2019, richiama l’applicazione di </w:t>
      </w:r>
      <w:r>
        <w:rPr>
          <w:rFonts w:ascii="Titillium Web" w:eastAsia="Titillium Web" w:hAnsi="Titillium Web" w:cs="Titillium Web"/>
          <w:sz w:val="24"/>
          <w:szCs w:val="24"/>
          <w:u w:val="single"/>
        </w:rPr>
        <w:t>3 criteri alternativi per l'individuazione del titolare effettivo</w:t>
      </w:r>
      <w:r>
        <w:rPr>
          <w:rFonts w:ascii="Titillium Web" w:eastAsia="Titillium Web" w:hAnsi="Titillium Web" w:cs="Titillium Web"/>
          <w:sz w:val="24"/>
          <w:szCs w:val="24"/>
        </w:rPr>
        <w:t xml:space="preserve">: </w:t>
      </w:r>
      <w:r>
        <w:rPr>
          <w:rFonts w:ascii="Titillium Web" w:eastAsia="Titillium Web" w:hAnsi="Titillium Web" w:cs="Titillium Web"/>
          <w:b/>
          <w:sz w:val="24"/>
          <w:szCs w:val="24"/>
        </w:rPr>
        <w:t>1. criterio dell’assetto proprietario:</w:t>
      </w:r>
      <w:r>
        <w:rPr>
          <w:rFonts w:ascii="Titillium Web" w:eastAsia="Titillium Web" w:hAnsi="Titillium Web" w:cs="Titillium Web"/>
          <w:sz w:val="24"/>
          <w:szCs w:val="24"/>
        </w:rPr>
        <w:t xml:space="preserve"> sulla </w:t>
      </w:r>
      <w:r>
        <w:rPr>
          <w:rFonts w:ascii="Titillium Web" w:eastAsia="Titillium Web" w:hAnsi="Titillium Web" w:cs="Titillium Web"/>
          <w:sz w:val="24"/>
          <w:szCs w:val="24"/>
        </w:rPr>
        <w:lastRenderedPageBreak/>
        <w:t>base del presente criterio si individua il titolare/i effettivo/i quando una o più persone detengono una partecipazione del capitale societario superiore al 25%. Se questa percentuale di partecipazione societaria è controllata da un’altra entità giuridica non fisica, è necessario risalire la catena proprietaria fino a trovare il titolare effettivo; 2</w:t>
      </w:r>
      <w:r>
        <w:rPr>
          <w:rFonts w:ascii="Titillium Web" w:eastAsia="Titillium Web" w:hAnsi="Titillium Web" w:cs="Titillium Web"/>
          <w:b/>
          <w:sz w:val="24"/>
          <w:szCs w:val="24"/>
        </w:rPr>
        <w:t>. criterio del controllo</w:t>
      </w:r>
      <w:r>
        <w:rPr>
          <w:rFonts w:ascii="Titillium Web" w:eastAsia="Titillium Web" w:hAnsi="Titillium Web" w:cs="Titillium Web"/>
          <w:sz w:val="24"/>
          <w:szCs w:val="24"/>
        </w:rPr>
        <w:t>: sulla base di questo criterio si provvede a verificare chi è la persona, o il gruppo di p</w:t>
      </w:r>
      <w:r>
        <w:rPr>
          <w:rFonts w:ascii="Titillium Web" w:eastAsia="Titillium Web" w:hAnsi="Titillium Web" w:cs="Titillium Web"/>
          <w:sz w:val="24"/>
          <w:szCs w:val="24"/>
        </w:rPr>
        <w:t xml:space="preserve">ersone, che tramite il possesso della maggioranza dei voti o vincoli contrattuali, esercita maggiore influenza all’interno del panorama degli shareholders. Questo criterio è fondamentale nel caso in cui non si riuscisse a risalire al titolare effettivo con l’analisi dell’assetto proprietario (cfr. punto 1); </w:t>
      </w:r>
      <w:r>
        <w:rPr>
          <w:rFonts w:ascii="Titillium Web" w:eastAsia="Titillium Web" w:hAnsi="Titillium Web" w:cs="Titillium Web"/>
          <w:b/>
          <w:sz w:val="24"/>
          <w:szCs w:val="24"/>
        </w:rPr>
        <w:t>3. criterio residuale:</w:t>
      </w:r>
      <w:r>
        <w:rPr>
          <w:rFonts w:ascii="Titillium Web" w:eastAsia="Titillium Web" w:hAnsi="Titillium Web" w:cs="Titillium Web"/>
          <w:sz w:val="24"/>
          <w:szCs w:val="24"/>
        </w:rPr>
        <w:t xml:space="preserve"> questo criterio stabilisce che, se non sono stati individuati i titolari effettivi con i precedenti due criteri, quest’ultimo vada individuato in colui che esercita poteri di ammin</w:t>
      </w:r>
      <w:r>
        <w:rPr>
          <w:rFonts w:ascii="Titillium Web" w:eastAsia="Titillium Web" w:hAnsi="Titillium Web" w:cs="Titillium Web"/>
          <w:sz w:val="24"/>
          <w:szCs w:val="24"/>
        </w:rPr>
        <w:t>istrazione o direzione della società. La stessa Circolare MEF 30/2022 precisa che sono tenuti alla comunicazione dei dati sulla titolarità effettiva tutti gli aggiudicatari/contraenti con la PA. Nel caso in cui si faccia ricorso al subappalto (se previsto dall’Avviso/Bando di gara e dal Contratto di appalto) la comunicazione dei dati relativi al titolare effettivo dovranno essere effettuate oltre che dall’aggiudicatario dell’appalto, anche dal soggetto terzo (subappaltatore) cui l’appaltatore affida in tutt</w:t>
      </w:r>
      <w:r>
        <w:rPr>
          <w:rFonts w:ascii="Titillium Web" w:eastAsia="Titillium Web" w:hAnsi="Titillium Web" w:cs="Titillium Web"/>
          <w:sz w:val="24"/>
          <w:szCs w:val="24"/>
        </w:rPr>
        <w:t>o o in parte, l'esecuzione del lavoro ad esso appaltato. In caso di Raggruppamento Temporaneo di Imprese (RTI) la comunicazione dei dati sul titolare effettivo dovrà essere eseguita da tutti gli operatori economici che fanno parte del Raggruppamento.</w:t>
      </w:r>
    </w:p>
    <w:p w14:paraId="64551B86" w14:textId="77777777" w:rsidR="00287381" w:rsidRDefault="00E07BDA">
      <w:pPr>
        <w:tabs>
          <w:tab w:val="left" w:pos="9638"/>
        </w:tabs>
        <w:spacing w:before="240" w:after="240"/>
        <w:jc w:val="center"/>
        <w:rPr>
          <w:rFonts w:ascii="Titillium Web" w:eastAsia="Titillium Web" w:hAnsi="Titillium Web" w:cs="Titillium Web"/>
          <w:b/>
          <w:sz w:val="24"/>
          <w:szCs w:val="24"/>
        </w:rPr>
      </w:pPr>
      <w:r>
        <w:rPr>
          <w:rFonts w:ascii="Titillium Web" w:eastAsia="Titillium Web" w:hAnsi="Titillium Web" w:cs="Titillium Web"/>
          <w:b/>
          <w:sz w:val="24"/>
          <w:szCs w:val="24"/>
        </w:rPr>
        <w:t>3. APPENDICE NORMATIVA</w:t>
      </w:r>
    </w:p>
    <w:p w14:paraId="300DCC6E" w14:textId="77777777" w:rsidR="00287381" w:rsidRDefault="00E07BDA">
      <w:pPr>
        <w:tabs>
          <w:tab w:val="left" w:pos="9638"/>
        </w:tabs>
        <w:spacing w:before="240" w:after="240"/>
        <w:jc w:val="both"/>
        <w:rPr>
          <w:rFonts w:ascii="Titillium Web" w:eastAsia="Titillium Web" w:hAnsi="Titillium Web" w:cs="Titillium Web"/>
          <w:sz w:val="24"/>
          <w:szCs w:val="24"/>
        </w:rPr>
      </w:pPr>
      <w:r>
        <w:rPr>
          <w:rFonts w:ascii="Titillium Web" w:eastAsia="Titillium Web" w:hAnsi="Titillium Web" w:cs="Titillium Web"/>
          <w:sz w:val="24"/>
          <w:szCs w:val="24"/>
        </w:rPr>
        <w:t>Il D.Lgs. 21 novembre 2007 n. 231 Attuazione della direttiva 2005/60/CE concernente la prevenzione dell'utilizzo del sistema finanziario a scopo di riciclaggio dei proventi di attività criminose e di finanziamento del terrorismo nonché della direttiva 2006/70/CE che ne reca misure di esecuzione. Art. 1. Definizioni …omissis… 2. Nel presente decreto s’intendono per: …omissis… pp) titolare effettivo: la persona fisica o le persone fisiche, diverse dal cliente, nell'interesse della quale o delle quali, in ulti</w:t>
      </w:r>
      <w:r>
        <w:rPr>
          <w:rFonts w:ascii="Titillium Web" w:eastAsia="Titillium Web" w:hAnsi="Titillium Web" w:cs="Titillium Web"/>
          <w:sz w:val="24"/>
          <w:szCs w:val="24"/>
        </w:rPr>
        <w:t xml:space="preserve">ma istanza, il rapporto continuativo è istaurato, la prestazione professionale è resa o l'operazione è eseguita; Art. 20. Criteri per la determinazione della titolarità effettiva di clienti diversi dalle persone fisiche 1. Il titolare effettivo di clienti diversi dalle persone fisiche coincide con la persona fisica o le persone fisiche cui, in ultima istanza, è attribuibile la proprietà diretta o indiretta dell'ente ovvero il relativo controllo. 2. Nel caso in cui il cliente sia una società di capitali: a) </w:t>
      </w:r>
      <w:r>
        <w:rPr>
          <w:rFonts w:ascii="Titillium Web" w:eastAsia="Titillium Web" w:hAnsi="Titillium Web" w:cs="Titillium Web"/>
          <w:sz w:val="24"/>
          <w:szCs w:val="24"/>
        </w:rPr>
        <w:t>costituisce indicazione di proprietà diretta la titolarità di una partecipazione superiore al 25 per cento del capitale del cliente, detenuta da una persona fisica; b) costituisce indicazione di proprietà indiretta la titolarità di una percentuale di partecipazioni superiore al 25 per cento del capitale del cliente, posseduto per il tramite di società controllate, società fiduciarie o per interposta persona. 3. Nelle ipotesi in cui l'esame dell'assetto proprietario non consenta di individuare in maniera uni</w:t>
      </w:r>
      <w:r>
        <w:rPr>
          <w:rFonts w:ascii="Titillium Web" w:eastAsia="Titillium Web" w:hAnsi="Titillium Web" w:cs="Titillium Web"/>
          <w:sz w:val="24"/>
          <w:szCs w:val="24"/>
        </w:rPr>
        <w:t xml:space="preserve">voca la persona fisica o le persone fisiche cui è attribuibile la proprietà diretta o indiretta dell'ente, il titolare effettivo coincide con la persona </w:t>
      </w:r>
      <w:r>
        <w:rPr>
          <w:rFonts w:ascii="Titillium Web" w:eastAsia="Titillium Web" w:hAnsi="Titillium Web" w:cs="Titillium Web"/>
          <w:sz w:val="24"/>
          <w:szCs w:val="24"/>
        </w:rPr>
        <w:lastRenderedPageBreak/>
        <w:t>fisica o le persone fisiche cui, in ultima istanza, è attribuibile il controllo del medesimo in forza: a) del controllo della maggioranza dei voti esercitabili in assemblea ordinaria; b) del controllo di voti sufficienti per esercitare un'influenza dominante in assemblea ordinaria; c) dell'esistenza di particolari vincoli contrattuali che consentano di eser</w:t>
      </w:r>
      <w:r>
        <w:rPr>
          <w:rFonts w:ascii="Titillium Web" w:eastAsia="Titillium Web" w:hAnsi="Titillium Web" w:cs="Titillium Web"/>
          <w:sz w:val="24"/>
          <w:szCs w:val="24"/>
        </w:rPr>
        <w:t>citare un'influenza dominante. 4. Nel caso in cui il cliente sia una persona giuridica privata, di cui al decreto del Presidente della Repubblica 10 febbraio 2000, n. 361, sono cumulativamente individuati, come titolari effettivi: a) i fondatori, ove in vita; b) i beneficiari, quando individuati o facilmente individuabili; c) i titolari di poteri di rappresentanza legale, direzione e amministrazione. 5. Qualora l'applicazione dei criteri di cui ai precedenti commi non consenta di individuare univocamente un</w:t>
      </w:r>
      <w:r>
        <w:rPr>
          <w:rFonts w:ascii="Titillium Web" w:eastAsia="Titillium Web" w:hAnsi="Titillium Web" w:cs="Titillium Web"/>
          <w:sz w:val="24"/>
          <w:szCs w:val="24"/>
        </w:rPr>
        <w:t>o o più titolari effettivi, il titolare effettivo coincide con la persona fisica o le</w:t>
      </w:r>
      <w:r>
        <w:rPr>
          <w:rFonts w:ascii="Titillium Web" w:eastAsia="Titillium Web" w:hAnsi="Titillium Web" w:cs="Titillium Web"/>
          <w:sz w:val="27"/>
          <w:szCs w:val="27"/>
        </w:rPr>
        <w:t xml:space="preserve"> </w:t>
      </w:r>
      <w:r>
        <w:rPr>
          <w:rFonts w:ascii="Titillium Web" w:eastAsia="Titillium Web" w:hAnsi="Titillium Web" w:cs="Titillium Web"/>
          <w:sz w:val="24"/>
          <w:szCs w:val="24"/>
        </w:rPr>
        <w:t>persone fisiche titolari, conformemente ai rispettivi assetti organizzativi o statutari, di poteri di rappresentanza legale, amministrazione o direzione della società o del cliente comunque diverso dalla persona fisica. 6. I soggetti obbligati conservano traccia delle verifiche effettuate ai fini dell'individuazione del titolare effettivo nonché, con specifico riferimento al titolare effettivo individuato ai sensi del comm</w:t>
      </w:r>
      <w:r>
        <w:rPr>
          <w:rFonts w:ascii="Titillium Web" w:eastAsia="Titillium Web" w:hAnsi="Titillium Web" w:cs="Titillium Web"/>
          <w:sz w:val="24"/>
          <w:szCs w:val="24"/>
        </w:rPr>
        <w:t>a 5, delle ragioni che non hanno consentito di individuare il titolare effettivo ai sensi dei commi 1, 2, 3 e 4 del presente articolo. Art. 22. Obblighi del cliente …omissis… 5. I fiduciari di trust espressi, disciplinati ai sensi della legge 16 ottobre 1989, n. 364, nonché le persone che esercitano diritti, poteri e facoltà equivalenti in istituti giuridici affini, purché stabiliti o residenti sul territorio della Repubblica italiana, ottengono e detengono informazioni adeguate, accurate e aggiornate sulla</w:t>
      </w:r>
      <w:r>
        <w:rPr>
          <w:rFonts w:ascii="Titillium Web" w:eastAsia="Titillium Web" w:hAnsi="Titillium Web" w:cs="Titillium Web"/>
          <w:sz w:val="24"/>
          <w:szCs w:val="24"/>
        </w:rPr>
        <w:t xml:space="preserve"> titolarità effettiva del trust, o dell'istituto giuridico affine, per tali intendendosi quelle relative all'identità del costituente o dei costituenti, del fiduciario o dei fiduciari, del guardiano o dei guardiani ovvero di altra persona per conto del fiduciario, ove esistenti, dei beneficiari o classe di beneficiari e delle altre persone fisiche che esercitano il controllo sul trust o sull'istituto giuridico affine e di qualunque altra persona fisica che esercita, in ultima istanza, il controllo sui beni </w:t>
      </w:r>
      <w:r>
        <w:rPr>
          <w:rFonts w:ascii="Titillium Web" w:eastAsia="Titillium Web" w:hAnsi="Titillium Web" w:cs="Titillium Web"/>
          <w:sz w:val="24"/>
          <w:szCs w:val="24"/>
        </w:rPr>
        <w:t>conferiti nel trust o nell'istituto giuridico affine attraverso la proprietà diretta o indiretta o attraverso altri mezzi. I fiduciari di trust espressi e le persone che esercitano diritti, poteri e facoltà equivalenti in istituti giuridici affini conservano tali informazioni per un periodo non inferiore a cinque anni dalla cessazione del loro stato di fiduciari e le rendono prontamente accessibili alle autorità di cui all'articolo 21, comma 2, lettera a) e b). I medesimi fiduciari che, in tale veste, insta</w:t>
      </w:r>
      <w:r>
        <w:rPr>
          <w:rFonts w:ascii="Titillium Web" w:eastAsia="Titillium Web" w:hAnsi="Titillium Web" w:cs="Titillium Web"/>
          <w:sz w:val="24"/>
          <w:szCs w:val="24"/>
        </w:rPr>
        <w:t>urano un rapporto continuativo o professionale ovvero eseguono una prestazione occasionale dichiarano il proprio stato ai soggetti obbligati.</w:t>
      </w:r>
    </w:p>
    <w:sectPr w:rsidR="00287381">
      <w:headerReference w:type="default" r:id="rId11"/>
      <w:footerReference w:type="default" r:id="rId12"/>
      <w:pgSz w:w="11906" w:h="16838"/>
      <w:pgMar w:top="1985"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F2568" w14:textId="77777777" w:rsidR="00E07BDA" w:rsidRDefault="00E07BDA">
      <w:r>
        <w:separator/>
      </w:r>
    </w:p>
  </w:endnote>
  <w:endnote w:type="continuationSeparator" w:id="0">
    <w:p w14:paraId="54E5D1C7" w14:textId="77777777" w:rsidR="00E07BDA" w:rsidRDefault="00E07B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F430C869-DC7D-4F22-90C4-E38024795CA8}"/>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8687E6FD-FCD0-4C6D-A9A5-29A68B2F71B1}"/>
  </w:font>
  <w:font w:name="Georgia">
    <w:panose1 w:val="02040502050405020303"/>
    <w:charset w:val="00"/>
    <w:family w:val="roman"/>
    <w:pitch w:val="variable"/>
    <w:sig w:usb0="00000287" w:usb1="00000000" w:usb2="00000000" w:usb3="00000000" w:csb0="0000009F" w:csb1="00000000"/>
    <w:embedRegular r:id="rId3" w:fontKey="{EC83DAF2-8C6F-4C69-8CC4-92BBDF821719}"/>
    <w:embedItalic r:id="rId4" w:fontKey="{F31B95CB-1D0B-4C81-9E6D-0A745FA4965B}"/>
  </w:font>
  <w:font w:name="Titillium Web">
    <w:charset w:val="00"/>
    <w:family w:val="auto"/>
    <w:pitch w:val="variable"/>
    <w:sig w:usb0="00000007" w:usb1="00000001" w:usb2="00000000" w:usb3="00000000" w:csb0="00000093" w:csb1="00000000"/>
    <w:embedRegular r:id="rId5" w:fontKey="{643A750B-1B4C-47CE-8899-B01FC0D398F6}"/>
    <w:embedBold r:id="rId6" w:fontKey="{F5D04C24-AE4F-4A80-AD50-6547A63E2167}"/>
  </w:font>
  <w:font w:name="Titillium Regular Upr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7" w:fontKey="{34D34B33-5074-41FB-87DC-C2C8030A272D}"/>
    <w:embedBold r:id="rId8" w:fontKey="{22B3EB37-4730-4234-A628-D185BC3C32DF}"/>
  </w:font>
  <w:font w:name="Calibri Light">
    <w:panose1 w:val="020F0302020204030204"/>
    <w:charset w:val="00"/>
    <w:family w:val="swiss"/>
    <w:pitch w:val="variable"/>
    <w:sig w:usb0="E4002EFF" w:usb1="C200247B" w:usb2="00000009" w:usb3="00000000" w:csb0="000001FF" w:csb1="00000000"/>
    <w:embedRegular r:id="rId9" w:fontKey="{5C9D09E7-5B24-4595-B17D-B37BF937E9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E0E26" w14:textId="77777777" w:rsidR="00287381" w:rsidRDefault="00E07BDA">
    <w:pPr>
      <w:pBdr>
        <w:top w:val="nil"/>
        <w:left w:val="nil"/>
        <w:bottom w:val="nil"/>
        <w:right w:val="nil"/>
        <w:between w:val="nil"/>
      </w:pBdr>
      <w:tabs>
        <w:tab w:val="center" w:pos="4819"/>
        <w:tab w:val="right" w:pos="9638"/>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55A1A876" w14:textId="77777777" w:rsidR="00287381" w:rsidRDefault="00287381">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B9A7EA" w14:textId="77777777" w:rsidR="00E07BDA" w:rsidRDefault="00E07BDA">
      <w:r>
        <w:separator/>
      </w:r>
    </w:p>
  </w:footnote>
  <w:footnote w:type="continuationSeparator" w:id="0">
    <w:p w14:paraId="4A33279D" w14:textId="77777777" w:rsidR="00E07BDA" w:rsidRDefault="00E07B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091B5" w14:textId="77777777" w:rsidR="00287381" w:rsidRDefault="00287381">
    <w:pPr>
      <w:pBdr>
        <w:top w:val="nil"/>
        <w:left w:val="nil"/>
        <w:bottom w:val="nil"/>
        <w:right w:val="nil"/>
        <w:between w:val="nil"/>
      </w:pBdr>
      <w:tabs>
        <w:tab w:val="center" w:pos="4819"/>
        <w:tab w:val="right" w:pos="96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C741695"/>
    <w:multiLevelType w:val="multilevel"/>
    <w:tmpl w:val="2B5A631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num w:numId="1" w16cid:durableId="20753536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7381"/>
    <w:rsid w:val="00287381"/>
    <w:rsid w:val="00E07BDA"/>
    <w:rsid w:val="00EE6CF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DCB3AE"/>
  <w15:docId w15:val="{541923A4-3B8B-4CA9-87F8-F380D6D42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it-IT" w:eastAsia="it-IT"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654F52"/>
    <w:pPr>
      <w:autoSpaceDE w:val="0"/>
      <w:autoSpaceDN w:val="0"/>
    </w:pPr>
  </w:style>
  <w:style w:type="paragraph" w:styleId="Titolo1">
    <w:name w:val="heading 1"/>
    <w:basedOn w:val="Normale"/>
    <w:link w:val="Titolo1Carattere"/>
    <w:uiPriority w:val="9"/>
    <w:qFormat/>
    <w:rsid w:val="00654F52"/>
    <w:pPr>
      <w:ind w:left="991" w:right="1032"/>
      <w:jc w:val="center"/>
      <w:outlineLvl w:val="0"/>
    </w:pPr>
    <w:rPr>
      <w:b/>
      <w:bCs/>
      <w:sz w:val="24"/>
      <w:szCs w:val="24"/>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paragraph" w:styleId="Paragrafoelenco">
    <w:name w:val="List Paragraph"/>
    <w:basedOn w:val="Normale"/>
    <w:uiPriority w:val="34"/>
    <w:qFormat/>
    <w:rsid w:val="00BB49DF"/>
    <w:pPr>
      <w:ind w:left="720"/>
      <w:contextualSpacing/>
    </w:pPr>
  </w:style>
  <w:style w:type="character" w:styleId="Collegamentoipertestuale">
    <w:name w:val="Hyperlink"/>
    <w:basedOn w:val="Carpredefinitoparagrafo"/>
    <w:uiPriority w:val="99"/>
    <w:unhideWhenUsed/>
    <w:rsid w:val="007B67B4"/>
    <w:rPr>
      <w:color w:val="0563C1" w:themeColor="hyperlink"/>
      <w:u w:val="single"/>
    </w:rPr>
  </w:style>
  <w:style w:type="character" w:styleId="Collegamentovisitato">
    <w:name w:val="FollowedHyperlink"/>
    <w:basedOn w:val="Carpredefinitoparagrafo"/>
    <w:uiPriority w:val="99"/>
    <w:semiHidden/>
    <w:unhideWhenUsed/>
    <w:rsid w:val="00252E42"/>
    <w:rPr>
      <w:color w:val="954F72" w:themeColor="followedHyperlink"/>
      <w:u w:val="single"/>
    </w:rPr>
  </w:style>
  <w:style w:type="paragraph" w:styleId="Intestazione">
    <w:name w:val="header"/>
    <w:basedOn w:val="Normale"/>
    <w:link w:val="IntestazioneCarattere"/>
    <w:uiPriority w:val="99"/>
    <w:unhideWhenUsed/>
    <w:rsid w:val="00643D5F"/>
    <w:pPr>
      <w:tabs>
        <w:tab w:val="center" w:pos="4819"/>
        <w:tab w:val="right" w:pos="9638"/>
      </w:tabs>
    </w:pPr>
  </w:style>
  <w:style w:type="character" w:customStyle="1" w:styleId="IntestazioneCarattere">
    <w:name w:val="Intestazione Carattere"/>
    <w:basedOn w:val="Carpredefinitoparagrafo"/>
    <w:link w:val="Intestazione"/>
    <w:uiPriority w:val="99"/>
    <w:rsid w:val="00643D5F"/>
  </w:style>
  <w:style w:type="paragraph" w:styleId="Pidipagina">
    <w:name w:val="footer"/>
    <w:basedOn w:val="Normale"/>
    <w:link w:val="PidipaginaCarattere"/>
    <w:uiPriority w:val="99"/>
    <w:unhideWhenUsed/>
    <w:rsid w:val="00643D5F"/>
    <w:pPr>
      <w:tabs>
        <w:tab w:val="center" w:pos="4819"/>
        <w:tab w:val="right" w:pos="9638"/>
      </w:tabs>
    </w:pPr>
  </w:style>
  <w:style w:type="character" w:customStyle="1" w:styleId="PidipaginaCarattere">
    <w:name w:val="Piè di pagina Carattere"/>
    <w:basedOn w:val="Carpredefinitoparagrafo"/>
    <w:link w:val="Pidipagina"/>
    <w:uiPriority w:val="99"/>
    <w:rsid w:val="00643D5F"/>
  </w:style>
  <w:style w:type="paragraph" w:styleId="Testofumetto">
    <w:name w:val="Balloon Text"/>
    <w:basedOn w:val="Normale"/>
    <w:link w:val="TestofumettoCarattere"/>
    <w:uiPriority w:val="99"/>
    <w:semiHidden/>
    <w:unhideWhenUsed/>
    <w:rsid w:val="00E85F9C"/>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E85F9C"/>
    <w:rPr>
      <w:rFonts w:ascii="Segoe UI" w:hAnsi="Segoe UI" w:cs="Segoe UI"/>
      <w:sz w:val="18"/>
      <w:szCs w:val="18"/>
    </w:rPr>
  </w:style>
  <w:style w:type="character" w:customStyle="1" w:styleId="Titolo1Carattere">
    <w:name w:val="Titolo 1 Carattere"/>
    <w:basedOn w:val="Carpredefinitoparagrafo"/>
    <w:link w:val="Titolo1"/>
    <w:uiPriority w:val="1"/>
    <w:rsid w:val="00654F52"/>
    <w:rPr>
      <w:rFonts w:ascii="Times New Roman" w:eastAsia="Times New Roman" w:hAnsi="Times New Roman" w:cs="Times New Roman"/>
      <w:b/>
      <w:bCs/>
      <w:sz w:val="24"/>
      <w:szCs w:val="24"/>
    </w:rPr>
  </w:style>
  <w:style w:type="paragraph" w:styleId="Corpotesto">
    <w:name w:val="Body Text"/>
    <w:basedOn w:val="Normale"/>
    <w:link w:val="CorpotestoCarattere"/>
    <w:uiPriority w:val="1"/>
    <w:qFormat/>
    <w:rsid w:val="00654F52"/>
  </w:style>
  <w:style w:type="character" w:customStyle="1" w:styleId="CorpotestoCarattere">
    <w:name w:val="Corpo testo Carattere"/>
    <w:basedOn w:val="Carpredefinitoparagrafo"/>
    <w:link w:val="Corpotesto"/>
    <w:uiPriority w:val="1"/>
    <w:rsid w:val="00654F52"/>
    <w:rPr>
      <w:rFonts w:ascii="Times New Roman" w:eastAsia="Times New Roman" w:hAnsi="Times New Roman" w:cs="Times New Roman"/>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10jeYU/OjMFcwizHvYZT1+fLPQ==">CgMxLjAyDmguemRmdXIwdXlrNG9jOAByITEycUNSOGhFbmFHbVI3b0xhMU4yZkVTVDlGU2VvWmN5SQ==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2966</Words>
  <Characters>16909</Characters>
  <Application>Microsoft Office Word</Application>
  <DocSecurity>0</DocSecurity>
  <Lines>140</Lines>
  <Paragraphs>39</Paragraphs>
  <ScaleCrop>false</ScaleCrop>
  <Company/>
  <LinksUpToDate>false</LinksUpToDate>
  <CharactersWithSpaces>19836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DEBORAH TOMASELLO</dc:creator>
  <cp:lastModifiedBy>ANTONIO RAMAGLIA</cp:lastModifiedBy>
  <cp:revision>2</cp:revision>
  <dcterms:created xsi:type="dcterms:W3CDTF">2025-04-08T08:16:00Z</dcterms:created>
  <dcterms:modified xsi:type="dcterms:W3CDTF">2025-04-18T13:29:00Z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ad0b24d-6422-44b0-b3de-abb3a9e8c81a_Enabled">
    <vt:lpwstr>true</vt:lpwstr>
  </property>
  <property fmtid="{D5CDD505-2E9C-101B-9397-08002B2CF9AE}" pid="3" name="MSIP_Label_2ad0b24d-6422-44b0-b3de-abb3a9e8c81a_SetDate">
    <vt:lpwstr>2024-08-02T13:08:54Z</vt:lpwstr>
  </property>
  <property fmtid="{D5CDD505-2E9C-101B-9397-08002B2CF9AE}" pid="4" name="MSIP_Label_2ad0b24d-6422-44b0-b3de-abb3a9e8c81a_Method">
    <vt:lpwstr>Standard</vt:lpwstr>
  </property>
  <property fmtid="{D5CDD505-2E9C-101B-9397-08002B2CF9AE}" pid="5" name="MSIP_Label_2ad0b24d-6422-44b0-b3de-abb3a9e8c81a_Name">
    <vt:lpwstr>defa4170-0d19-0005-0004-bc88714345d2</vt:lpwstr>
  </property>
  <property fmtid="{D5CDD505-2E9C-101B-9397-08002B2CF9AE}" pid="6" name="MSIP_Label_2ad0b24d-6422-44b0-b3de-abb3a9e8c81a_SiteId">
    <vt:lpwstr>2fcfe26a-bb62-46b0-b1e3-28f9da0c45fd</vt:lpwstr>
  </property>
  <property fmtid="{D5CDD505-2E9C-101B-9397-08002B2CF9AE}" pid="7" name="MSIP_Label_2ad0b24d-6422-44b0-b3de-abb3a9e8c81a_ActionId">
    <vt:lpwstr>f25a836b-222a-4c08-b214-a9491a774e67</vt:lpwstr>
  </property>
  <property fmtid="{D5CDD505-2E9C-101B-9397-08002B2CF9AE}" pid="8" name="MSIP_Label_2ad0b24d-6422-44b0-b3de-abb3a9e8c81a_ContentBits">
    <vt:lpwstr>0</vt:lpwstr>
  </property>
</Properties>
</file>